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29"/>
        <w:pBdr/>
        <w:spacing/>
        <w:ind/>
        <w:jc w:val="center"/>
        <w:rPr/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В Региональном Роскадастре проходит выставка новогодних рисунков</w:t>
      </w:r>
      <w:r/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highlight w:val="none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highlight w:val="none"/>
        </w:rPr>
      </w:pPr>
      <w:r>
        <w:rPr>
          <w:rFonts w:ascii="Segoe UI" w:hAnsi="Segoe UI" w:eastAsia="Calibri" w:cs="Segoe UI"/>
          <w:lang w:eastAsia="en-US"/>
        </w:rPr>
        <w:t xml:space="preserve">В преддверии наступающего 2026 года коллектив Молодежного совета филиала ППК «Роскадастр» по Республике Карелия организовал выставку детских рисунков и творческих работ.</w:t>
      </w:r>
      <w:r>
        <w:rPr>
          <w:highlight w:val="none"/>
        </w:rPr>
      </w:r>
      <w:r>
        <w:rPr>
          <w:highlight w:val="none"/>
        </w:rPr>
      </w:r>
    </w:p>
    <w:p>
      <w:pPr>
        <w:pStyle w:val="916"/>
        <w:pBdr/>
        <w:shd w:val="clear" w:color="auto" w:fill="ffffff"/>
        <w:spacing/>
        <w:ind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  <w:t xml:space="preserve">В экспозиции представлены яркие и красочные работы, созданные детьми разных возрастных групп</w:t>
      </w:r>
      <w:r>
        <w:rPr>
          <w:rFonts w:ascii="Segoe UI" w:hAnsi="Segoe UI" w:eastAsia="Calibri" w:cs="Segoe UI"/>
          <w:lang w:eastAsia="en-US"/>
        </w:rPr>
        <w:t xml:space="preserve">. Дети работников изобразили свое видение волшебства Нового года, создавая атмосферу радости и ожидания чуда в стенах филиала.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0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  <w:t xml:space="preserve">Региональный Роскадастр подготовил для каждого участника мероприятия сладкий подарок и выразил благодарность ребятам и их родителям за активное участие и вклад в создание праздничной атмосферы.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ü"/>
      <w:numFmt w:val="bullet"/>
      <w:pPr>
        <w:pBdr/>
        <w:spacing/>
        <w:ind w:hanging="360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11</cp:revision>
  <dcterms:created xsi:type="dcterms:W3CDTF">2024-06-21T11:13:00Z</dcterms:created>
  <dcterms:modified xsi:type="dcterms:W3CDTF">2025-12-16T12:43:14Z</dcterms:modified>
  <cp:version>786432</cp:version>
</cp:coreProperties>
</file>