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выездных услуг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20 января с 10 до 12 часов </w:t>
      </w:r>
      <w:r>
        <w:rPr>
          <w:rFonts w:ascii="Segoe UI" w:hAnsi="Segoe UI" w:cs="Segoe UI"/>
          <w:sz w:val="24"/>
          <w:szCs w:val="24"/>
        </w:rPr>
        <w:t xml:space="preserve">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межрайонного отдела</w:t>
      </w:r>
      <w:r>
        <w:rPr>
          <w:rFonts w:ascii="Segoe UI" w:hAnsi="Segoe UI" w:cs="Segoe UI"/>
        </w:rPr>
        <w:t xml:space="preserve"> филиала ППК «Роскадастр» </w:t>
      </w:r>
      <w:r>
        <w:rPr>
          <w:rFonts w:ascii="Segoe UI" w:hAnsi="Segoe UI" w:cs="Segoe UI"/>
        </w:rPr>
        <w:t xml:space="preserve">по Республике Карелия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ответят на вопросы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граждан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теме</w:t>
      </w:r>
      <w:r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  <w:t xml:space="preserve">Выездные услуги Роскадастра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pStyle w:val="916"/>
        <w:pBdr/>
        <w:shd w:val="clear" w:color="auto" w:fill="ffffff"/>
        <w:spacing/>
        <w:ind w:firstLine="0"/>
        <w:jc w:val="lef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 (8142) 71-73-47 (доб. 1</w:t>
      </w:r>
      <w:r>
        <w:rPr>
          <w:rFonts w:ascii="Segoe UI" w:hAnsi="Segoe UI" w:eastAsia="Calibri" w:cs="Segoe UI"/>
          <w:b/>
        </w:rPr>
        <w:t xml:space="preserve">)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9</cp:revision>
  <dcterms:created xsi:type="dcterms:W3CDTF">2024-06-25T11:57:00Z</dcterms:created>
  <dcterms:modified xsi:type="dcterms:W3CDTF">2025-11-27T07:16:49Z</dcterms:modified>
  <cp:version>786432</cp:version>
</cp:coreProperties>
</file>