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Порядок обжалования решений о приостановлении кадастрового учета и (или) регистрации прав на недвижимость в апелляционную комиссию</w:t>
      </w:r>
      <w:r>
        <w:rPr>
          <w:b/>
          <w:bCs/>
          <w:sz w:val="26"/>
          <w:szCs w:val="26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С 1 января 2026 года у граждан появилась возможность обжаловать решение о приостановлении государственной регистрации прав на недвижимое имущество 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о внесудебном порядке. Ранее такой порядок действовал только в отношении приостановлений кадастрового учета.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  <w14:ligatures w14:val="none"/>
        </w:rPr>
      </w:r>
    </w:p>
    <w:p>
      <w:pPr>
        <w:contextualSpacing w:val="0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Заявление об обжаловании решения о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приостановлении государственной регистрации прав на недвижимое имущество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, принятое территориальным органом Росреестра, можно направить в региональную апелляционную комиссию, созданную при таком территориальном органе. 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</w:p>
    <w:p>
      <w:pPr>
        <w:contextualSpacing w:val="0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Заявление об обжаловании необходимо представить в течение 15 рабочих дней с даты принятия решения о приостановления в апелляционную комиссию по мест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у н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ахождения органа регистрации прав, принявшего данное решение.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</w:p>
    <w:p>
      <w:pPr>
        <w:contextualSpacing w:val="0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Решение об удовлет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ворении или отклонении заявления апелляционной комиссие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й должно быть принято в срок не более 15 рабочих дней со дня его регистрации. 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</w:p>
    <w:p>
      <w:pPr>
        <w:contextualSpacing w:val="0"/>
        <w:ind w:firstLine="708"/>
        <w:jc w:val="both"/>
        <w:spacing w:before="0" w:after="0" w:line="57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При этом предусмотрено, что обжалование решения о приостановлении во внесудебном порядке не является обязательным досудебным порядком обжалования такого решения о приостановлении.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14:ligatures w14:val="none"/>
        </w:rPr>
      </w:r>
    </w:p>
    <w:p>
      <w:pPr>
        <w:contextualSpacing w:val="0"/>
        <w:ind w:firstLine="708"/>
        <w:jc w:val="both"/>
        <w:spacing w:before="0" w:after="0" w:line="85" w:lineRule="atLeast"/>
        <w:rPr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С информацией о порядке работы апелляционных комиссий, формой заявления об обжаловании решений о приостановлении,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а также способами подачи заявления можно ознакомиться на официальном сайте Росреестра в </w:t>
      </w:r>
      <w:hyperlink r:id="rId10" w:tooltip="https://rosreestr.gov.ru/activity/okazanie-gosudarstvennykh-uslug/apellyatsionnye-komissii/" w:history="1">
        <w:r>
          <w:rPr>
            <w:rFonts w:ascii="Times New Roman" w:hAnsi="Times New Roman" w:eastAsia="Times New Roman" w:cs="Times New Roman"/>
            <w:i w:val="0"/>
            <w:iCs w:val="0"/>
            <w:color w:val="000000" w:themeColor="text1"/>
            <w:sz w:val="26"/>
            <w:szCs w:val="26"/>
          </w:rPr>
          <w:t xml:space="preserve">разделе «Апелляционн</w:t>
        </w:r>
        <w:r>
          <w:rPr>
            <w:rFonts w:ascii="Times New Roman" w:hAnsi="Times New Roman" w:eastAsia="Times New Roman" w:cs="Times New Roman"/>
            <w:i w:val="0"/>
            <w:iCs w:val="0"/>
            <w:color w:val="000000" w:themeColor="text1"/>
            <w:sz w:val="26"/>
            <w:szCs w:val="26"/>
          </w:rPr>
          <w:t xml:space="preserve">ые комиссии»</w:t>
        </w:r>
      </w:hyperlink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https://rosreestr.gov.ru/activity/okazanie-gosudarstvennykh-uslug/apellyatsionnye-komissii/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</w:t>
      </w:r>
      <w:r>
        <w:rPr>
          <w:b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activity/okazanie-gosudarstvennykh-uslug/apellyatsionnye-komissii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13</cp:revision>
  <dcterms:created xsi:type="dcterms:W3CDTF">2024-07-05T06:34:00Z</dcterms:created>
  <dcterms:modified xsi:type="dcterms:W3CDTF">2026-01-27T06:29:19Z</dcterms:modified>
</cp:coreProperties>
</file>