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Карельский Росреестр знакомит студентов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 основными направлениями работы Росреестра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pStyle w:val="9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Сегодня студенты 4-го курса Петрозаводского государственного университета посетили Карельский Росреестр, где познакомились с основными направлениями его работы.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39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Ребята узнали о порядке поступления на госслужбу, особенностях земельного контроля (надзора),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полномочиях ведомства в сфере землеустройства, геодезии и картографии, а также о необходимых профессиональных качествах. Сотрудники рассказали о современном используемом оборудовании и поделились опытом работы в ведомстве.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939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Впечатления участников оказались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яркими и вдохновляющими: экскурсия помогла студентам лучше понять перспективы построения карьеры и практическую сторону профессии. Они получили ответы на свои вопросы и увидели, какие знания нужны в работе Росреестра. Особый интерес вызвали возможности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охождения практики и трудоустройства в ведомстве.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Член Общественного совета при Управлении Росреестра по Республике Карелия,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тарший преподаватель земельно-правовых дисциплин Петрозаводского государственного университета </w:t>
      </w:r>
      <w:r>
        <w:rPr>
          <w:rFonts w:ascii="Times New Roman" w:hAnsi="Times New Roman" w:eastAsia="Times New Roman" w:cs="Times New Roman"/>
          <w:color w:val="080808"/>
          <w:sz w:val="28"/>
          <w:szCs w:val="28"/>
          <w:highlight w:val="white"/>
        </w:rPr>
        <w:t xml:space="preserve">Сергей Юрьевич Пластинин отметил высокую роль взаимодействия Управления с учебными заведениями региона: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</w:rPr>
        <w:t xml:space="preserve">«Тесное сотрудничество способствует подготовке квалифицированных кадров, повышению уровня профессиональной подготовки студентов, привлечению молодых специалистов к работе в Росреестре и  укреплению кадрового потенциала».</w:t>
      </w:r>
      <w:r>
        <w:rPr>
          <w:rFonts w:ascii="Times New Roman" w:hAnsi="Times New Roman" w:eastAsia="Times New Roman" w:cs="Times New Roman"/>
          <w:i/>
          <w:iCs/>
          <w:color w:val="080808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p>
      <w:r/>
      <w:r/>
    </w:p>
    <w:p>
      <w:r/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15</cp:revision>
  <dcterms:created xsi:type="dcterms:W3CDTF">2024-07-05T06:34:00Z</dcterms:created>
  <dcterms:modified xsi:type="dcterms:W3CDTF">2026-02-02T11:03:54Z</dcterms:modified>
</cp:coreProperties>
</file>