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724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1_724"/>
        <w:contextualSpacing w:val="0"/>
        <w:ind w:firstLine="567"/>
        <w:jc w:val="center"/>
        <w:spacing w:before="0" w:after="0" w:line="85" w:lineRule="atLeast"/>
        <w:rPr>
          <w:rFonts w:ascii="Times New Roman" w:hAnsi="Times New Roman"/>
          <w:b/>
          <w:bCs/>
          <w:sz w:val="28"/>
          <w:szCs w:val="28"/>
        </w:rPr>
        <w:suppressLineNumbers w:val="0"/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b/>
          <w:bCs/>
        </w:rPr>
      </w: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В Карелии в 2025 году выросло</w:t>
      </w:r>
      <w:r>
        <w:rPr>
          <w:rFonts w:ascii="Times New Roman" w:hAnsi="Times New Roman"/>
          <w:b/>
          <w:bCs/>
          <w:sz w:val="28"/>
          <w:szCs w:val="28"/>
        </w:rPr>
        <w:t xml:space="preserve"> количество зарегистрированных прав на основании договора участия в долевом строительстве</w:t>
      </w:r>
      <w:bookmarkEnd w:id="0"/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1_724"/>
        <w:contextualSpacing w:val="0"/>
        <w:ind w:right="-1" w:firstLine="567"/>
        <w:jc w:val="both"/>
        <w:spacing w:before="0" w:after="0" w:line="0" w:lineRule="atLeas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724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Республике </w:t>
      </w:r>
      <w:r>
        <w:rPr>
          <w:rFonts w:ascii="Times New Roman" w:hAnsi="Times New Roman" w:cs="Times New Roman"/>
          <w:sz w:val="28"/>
          <w:szCs w:val="28"/>
        </w:rPr>
        <w:t xml:space="preserve">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 анализ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в сфере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724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2025 году отмечен рост количества зарегистрированных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прав собстве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нности на основании договоров участия в долевом строительстве. Так за 2025 год количество прав, оформленных на основании договоров участия в долевом строительстве, по сравнению с 2024 годом, увеличилось более чем на 55 %.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724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Как сообщила 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Карельского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Анна Кондратьева, -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С марта 2025 года 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зас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 в электронном виде в срок не позднее 30 дней со дня подписания акта приема-передачи объекта недвижимости»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p>
      <w:pPr>
        <w:pStyle w:val="1_724"/>
        <w:contextualSpacing w:val="0"/>
        <w:ind w:firstLine="567"/>
        <w:jc w:val="both"/>
        <w:spacing w:before="0" w:after="0" w:line="85" w:lineRule="atLeast"/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подаче документов застройщику помимо заявления о регистрации прав в электронном виде необходимо приложить передаточный акт. Представляемые документы должны быть подписаны усиленной квалифицированной электронной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подписью уполномоченного лица застройщика.</w:t>
      </w:r>
      <w:r/>
      <w:r/>
    </w:p>
    <w:p>
      <w:pPr>
        <w:pStyle w:val="1_724"/>
        <w:contextualSpacing w:val="0"/>
        <w:ind w:firstLine="567"/>
        <w:jc w:val="both"/>
        <w:spacing w:before="0" w:after="0" w:line="85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После регистрации права собственности на квартиру застройщик обязан передать дольщику подтверждающую это действие выписку из ЕГРН.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Roboto" w:hAnsi="Roboto" w:eastAsia="Roboto" w:cs="Roboto"/>
          <w:color w:val="000000"/>
          <w:sz w:val="24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/>
    </w:p>
    <w:p>
      <w:pPr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_72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16</cp:revision>
  <dcterms:created xsi:type="dcterms:W3CDTF">2024-07-05T06:34:00Z</dcterms:created>
  <dcterms:modified xsi:type="dcterms:W3CDTF">2026-02-09T06:19:23Z</dcterms:modified>
</cp:coreProperties>
</file>