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60"/>
        <w:pBdr/>
        <w:spacing/>
        <w:ind/>
        <w:jc w:val="center"/>
        <w:rPr/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Вопрос – ответ по возврату платы за предоставление сведений из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ЕГРН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0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  <w:b/>
          <w:bCs/>
        </w:rPr>
        <w:t xml:space="preserve">Вопрос:</w:t>
      </w:r>
      <w:r>
        <w:rPr>
          <w:rFonts w:ascii="Segoe UI" w:hAnsi="Segoe UI" w:cs="Segoe UI"/>
        </w:rPr>
        <w:t xml:space="preserve"> В каком случае возможно вернуть денежные средства за предоставление сведений из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Единого государственного реестра недвижимости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(</w:t>
      </w:r>
      <w:r>
        <w:rPr>
          <w:rFonts w:ascii="Segoe UI" w:hAnsi="Segoe UI" w:cs="Segoe UI"/>
        </w:rPr>
        <w:t xml:space="preserve">ЕГРН</w:t>
      </w:r>
      <w:r>
        <w:rPr>
          <w:rFonts w:ascii="Segoe UI" w:hAnsi="Segoe UI" w:cs="Segoe UI"/>
        </w:rPr>
        <w:t xml:space="preserve">)</w:t>
      </w:r>
      <w:r>
        <w:rPr>
          <w:rFonts w:ascii="Segoe UI" w:hAnsi="Segoe UI" w:cs="Segoe UI"/>
        </w:rPr>
        <w:t xml:space="preserve">?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  <w:b/>
          <w:bCs/>
        </w:rPr>
        <w:t xml:space="preserve">Ответ:</w:t>
      </w:r>
      <w:r>
        <w:rPr>
          <w:rFonts w:ascii="Segoe UI" w:hAnsi="Segoe UI" w:cs="Segoe UI"/>
        </w:rPr>
        <w:t xml:space="preserve"> Денежные средства возвращаются: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–</w:t>
      </w:r>
      <w:r>
        <w:rPr>
          <w:rFonts w:ascii="Segoe UI" w:hAnsi="Segoe UI" w:cs="Segoe UI"/>
        </w:rPr>
        <w:tab/>
        <w:t xml:space="preserve">полностью в случае, если заявителем не </w:t>
      </w:r>
      <w:r>
        <w:rPr>
          <w:rFonts w:ascii="Segoe UI" w:hAnsi="Segoe UI" w:cs="Segoe UI"/>
        </w:rPr>
        <w:t xml:space="preserve">был </w:t>
      </w:r>
      <w:r>
        <w:rPr>
          <w:rFonts w:ascii="Segoe UI" w:hAnsi="Segoe UI" w:cs="Segoe UI"/>
        </w:rPr>
        <w:t xml:space="preserve">пода</w:t>
      </w:r>
      <w:r>
        <w:rPr>
          <w:rFonts w:ascii="Segoe UI" w:hAnsi="Segoe UI" w:cs="Segoe UI"/>
        </w:rPr>
        <w:t xml:space="preserve">н</w:t>
      </w:r>
      <w:r>
        <w:rPr>
          <w:rFonts w:ascii="Segoe UI" w:hAnsi="Segoe UI" w:cs="Segoe UI"/>
        </w:rPr>
        <w:t xml:space="preserve"> запрос о предоставлении сведений ЕГРН;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–</w:t>
      </w:r>
      <w:r>
        <w:rPr>
          <w:rFonts w:ascii="Segoe UI" w:hAnsi="Segoe UI" w:cs="Segoe UI"/>
        </w:rPr>
        <w:tab/>
        <w:t xml:space="preserve">возвращается разница в случае внесения денежных средств в</w:t>
      </w:r>
      <w:r>
        <w:rPr>
          <w:rFonts w:ascii="Segoe UI" w:hAnsi="Segoe UI" w:cs="Segoe UI"/>
        </w:rPr>
        <w:t xml:space="preserve"> размере, </w:t>
      </w:r>
      <w:r>
        <w:rPr>
          <w:rFonts w:ascii="Segoe UI" w:hAnsi="Segoe UI" w:cs="Segoe UI"/>
        </w:rPr>
        <w:t xml:space="preserve">превышающем</w:t>
      </w:r>
      <w:r>
        <w:rPr>
          <w:rFonts w:ascii="Segoe UI" w:hAnsi="Segoe UI" w:cs="Segoe UI"/>
        </w:rPr>
        <w:t xml:space="preserve"> предусмотрен</w:t>
      </w:r>
      <w:r>
        <w:rPr>
          <w:rFonts w:ascii="Segoe UI" w:hAnsi="Segoe UI" w:cs="Segoe UI"/>
        </w:rPr>
        <w:t xml:space="preserve">ный</w:t>
      </w:r>
      <w:r>
        <w:rPr>
          <w:rFonts w:ascii="Segoe UI" w:hAnsi="Segoe UI" w:cs="Segoe UI"/>
        </w:rPr>
        <w:t xml:space="preserve"> приказом Росреестра от 28.10.2024 № П/0335/24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«</w:t>
      </w:r>
      <w:r>
        <w:rPr>
          <w:rFonts w:ascii="Segoe UI" w:hAnsi="Segoe UI" w:cs="Segoe UI"/>
        </w:rPr>
        <w:t xml:space="preserve">Об установлении размеров платы за предоставление сведений, содержащихся в Едином государственном реестре недвижимости, и иной информации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»</w:t>
      </w:r>
      <w:r>
        <w:rPr>
          <w:rFonts w:ascii="Segoe UI" w:hAnsi="Segoe UI" w:cs="Segoe UI"/>
        </w:rPr>
        <w:t xml:space="preserve">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  <w:b/>
          <w:bCs/>
        </w:rPr>
        <w:t xml:space="preserve">Вопрос:</w:t>
      </w:r>
      <w:r>
        <w:rPr>
          <w:rFonts w:ascii="Segoe UI" w:hAnsi="Segoe UI" w:cs="Segoe UI"/>
        </w:rPr>
        <w:t xml:space="preserve"> В течение какого времени возможно обратиться с заявлением о возврате платежа?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  <w:b/>
          <w:bCs/>
        </w:rPr>
        <w:t xml:space="preserve">Ответ:</w:t>
      </w:r>
      <w:r>
        <w:rPr>
          <w:rFonts w:ascii="Segoe UI" w:hAnsi="Segoe UI" w:cs="Segoe UI"/>
        </w:rPr>
        <w:t xml:space="preserve"> Возврат денежных средств возмож</w:t>
      </w:r>
      <w:r>
        <w:rPr>
          <w:rFonts w:ascii="Segoe UI" w:hAnsi="Segoe UI" w:cs="Segoe UI"/>
        </w:rPr>
        <w:t xml:space="preserve">ен</w:t>
      </w:r>
      <w:r>
        <w:rPr>
          <w:rFonts w:ascii="Segoe UI" w:hAnsi="Segoe UI" w:cs="Segoe UI"/>
        </w:rPr>
        <w:t xml:space="preserve"> в течение трех лет со дня внесения платы.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  <w:b/>
          <w:bCs/>
        </w:rPr>
        <w:t xml:space="preserve">Вопрос:</w:t>
      </w:r>
      <w:r>
        <w:rPr>
          <w:rFonts w:ascii="Segoe UI" w:hAnsi="Segoe UI" w:cs="Segoe UI"/>
        </w:rPr>
        <w:t xml:space="preserve"> Кто может обратиться с заявлением о возврате платежа?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  <w:bCs/>
        </w:rPr>
        <w:t xml:space="preserve">Ответ:</w:t>
      </w:r>
      <w:r>
        <w:rPr>
          <w:rFonts w:ascii="Segoe UI" w:hAnsi="Segoe UI" w:cs="Segoe UI"/>
        </w:rPr>
        <w:t xml:space="preserve"> С заявлением о возврате платежа может обратиться плательщик или его правопреемник.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  <w:b/>
          <w:bCs/>
        </w:rPr>
        <w:t xml:space="preserve">Вопрос: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Каковы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с</w:t>
      </w:r>
      <w:r>
        <w:rPr>
          <w:rFonts w:ascii="Segoe UI" w:hAnsi="Segoe UI" w:cs="Segoe UI"/>
        </w:rPr>
        <w:t xml:space="preserve">пособы подачи заявления о возврате платежа?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  <w:bCs/>
        </w:rPr>
        <w:t xml:space="preserve">Ответ:</w:t>
      </w:r>
      <w:r>
        <w:rPr>
          <w:rFonts w:ascii="Segoe UI" w:hAnsi="Segoe UI" w:cs="Segoe UI"/>
        </w:rPr>
        <w:t xml:space="preserve"> Заявление о возврате платежа </w:t>
      </w:r>
      <w:r>
        <w:rPr>
          <w:rFonts w:ascii="Segoe UI" w:hAnsi="Segoe UI" w:cs="Segoe UI"/>
        </w:rPr>
        <w:t xml:space="preserve">можно подать несколькими способами: 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–</w:t>
      </w:r>
      <w:r>
        <w:rPr>
          <w:rFonts w:ascii="Segoe UI" w:hAnsi="Segoe UI" w:cs="Segoe UI"/>
        </w:rPr>
        <w:tab/>
        <w:t xml:space="preserve">в виде бумажного документа путем его отправки по почте на адрес </w:t>
      </w:r>
      <w:r>
        <w:rPr>
          <w:rFonts w:ascii="Segoe UI" w:hAnsi="Segoe UI" w:cs="Segoe UI"/>
        </w:rPr>
        <w:t xml:space="preserve">ф</w:t>
      </w:r>
      <w:r>
        <w:rPr>
          <w:rFonts w:ascii="Segoe UI" w:hAnsi="Segoe UI" w:cs="Segoe UI"/>
        </w:rPr>
        <w:t xml:space="preserve">илиала публично</w:t>
      </w:r>
      <w:r>
        <w:rPr>
          <w:rFonts w:ascii="Segoe UI" w:hAnsi="Segoe UI" w:cs="Segoe UI"/>
        </w:rPr>
        <w:t xml:space="preserve">-</w:t>
      </w:r>
      <w:r>
        <w:rPr>
          <w:rFonts w:ascii="Segoe UI" w:hAnsi="Segoe UI" w:cs="Segoe UI"/>
        </w:rPr>
        <w:t xml:space="preserve">правовой компании «Роскадастр»;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–</w:t>
      </w:r>
      <w:r>
        <w:rPr>
          <w:rFonts w:ascii="Segoe UI" w:hAnsi="Segoe UI" w:cs="Segoe UI"/>
        </w:rPr>
        <w:tab/>
        <w:t xml:space="preserve">в виде бумажного документа при личном обращении в офисах Государственного бюджетного учреждения «Многофункциональный центр предоставления государственных и муниципальных услуг»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(МФЦ)</w:t>
      </w:r>
      <w:r>
        <w:rPr>
          <w:rFonts w:ascii="Segoe UI" w:hAnsi="Segoe UI" w:cs="Segoe UI"/>
        </w:rPr>
        <w:t xml:space="preserve">;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–</w:t>
      </w:r>
      <w:r>
        <w:rPr>
          <w:rFonts w:ascii="Segoe UI" w:hAnsi="Segoe UI" w:cs="Segoe UI"/>
        </w:rPr>
        <w:tab/>
        <w:t xml:space="preserve">в электронной форме путем заполнения формы заявления через личный кабинет Росреестра (https://lk.rosreestr.ru), подписанной усиленной квалифицированной электронной подписью заявителя.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 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  <w:bCs/>
        </w:rPr>
        <w:t xml:space="preserve">Вопрос:</w:t>
      </w:r>
      <w:r>
        <w:rPr>
          <w:rFonts w:ascii="Segoe UI" w:hAnsi="Segoe UI" w:cs="Segoe UI"/>
        </w:rPr>
        <w:t xml:space="preserve"> Надо ли к заявлению о возврате платежа прикладывать чек?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  <w:bCs/>
        </w:rPr>
        <w:t xml:space="preserve">Ответ:</w:t>
      </w:r>
      <w:r>
        <w:rPr>
          <w:rFonts w:ascii="Segoe UI" w:hAnsi="Segoe UI" w:cs="Segoe UI"/>
        </w:rPr>
        <w:t xml:space="preserve"> К заявлению о возврате платежа необходимо приложить </w:t>
      </w:r>
      <w:r>
        <w:rPr>
          <w:rFonts w:ascii="Segoe UI" w:hAnsi="Segoe UI" w:cs="Segoe UI"/>
        </w:rPr>
        <w:t xml:space="preserve">оригинал</w:t>
      </w:r>
      <w:r>
        <w:rPr>
          <w:rFonts w:ascii="Segoe UI" w:hAnsi="Segoe UI" w:cs="Segoe UI"/>
        </w:rPr>
        <w:t xml:space="preserve"> чек</w:t>
      </w:r>
      <w:r>
        <w:rPr>
          <w:rFonts w:ascii="Segoe UI" w:hAnsi="Segoe UI" w:cs="Segoe UI"/>
        </w:rPr>
        <w:t xml:space="preserve">а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об оплате или платежное поручение либо их копии.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highlight w:val="none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0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276" w:lineRule="auto"/>
        <w:ind w:firstLine="567"/>
        <w:jc w:val="right"/>
        <w:outlineLvl w:val="0"/>
        <w:rPr>
          <w:rStyle w:val="726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26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26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58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2">
    <w:name w:val="Heading 1"/>
    <w:basedOn w:val="681"/>
    <w:next w:val="681"/>
    <w:link w:val="6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3">
    <w:name w:val="Heading 2"/>
    <w:basedOn w:val="681"/>
    <w:next w:val="681"/>
    <w:link w:val="6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4">
    <w:name w:val="Heading 3"/>
    <w:basedOn w:val="681"/>
    <w:next w:val="681"/>
    <w:link w:val="6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5">
    <w:name w:val="Heading 4"/>
    <w:basedOn w:val="681"/>
    <w:next w:val="681"/>
    <w:link w:val="6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6">
    <w:name w:val="Heading 5"/>
    <w:basedOn w:val="681"/>
    <w:next w:val="681"/>
    <w:link w:val="6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7">
    <w:name w:val="Heading 6"/>
    <w:basedOn w:val="681"/>
    <w:next w:val="681"/>
    <w:link w:val="6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8">
    <w:name w:val="Heading 7"/>
    <w:basedOn w:val="681"/>
    <w:next w:val="681"/>
    <w:link w:val="6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9">
    <w:name w:val="Heading 8"/>
    <w:basedOn w:val="681"/>
    <w:next w:val="681"/>
    <w:link w:val="69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0">
    <w:name w:val="Heading 9"/>
    <w:basedOn w:val="681"/>
    <w:next w:val="681"/>
    <w:link w:val="70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2">
    <w:name w:val="Heading 1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3">
    <w:name w:val="Heading 2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4">
    <w:name w:val="Heading 3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5">
    <w:name w:val="Heading 4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6">
    <w:name w:val="Heading 5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7">
    <w:name w:val="Heading 6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8">
    <w:name w:val="Heading 7 Char"/>
    <w:basedOn w:val="69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9">
    <w:name w:val="Heading 8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0">
    <w:name w:val="Heading 9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1">
    <w:name w:val="Title Char"/>
    <w:basedOn w:val="69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2">
    <w:name w:val="Subtitle Char"/>
    <w:basedOn w:val="69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3">
    <w:name w:val="Quote Char"/>
    <w:basedOn w:val="691"/>
    <w:link w:val="73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Intense Emphasis"/>
    <w:basedOn w:val="6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5">
    <w:name w:val="Intense Quote Char"/>
    <w:basedOn w:val="691"/>
    <w:link w:val="738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Reference"/>
    <w:basedOn w:val="6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7">
    <w:name w:val="Subtle Emphasis"/>
    <w:basedOn w:val="6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8">
    <w:name w:val="Emphasis"/>
    <w:basedOn w:val="691"/>
    <w:uiPriority w:val="20"/>
    <w:qFormat/>
    <w:pPr>
      <w:pBdr/>
      <w:spacing/>
      <w:ind/>
    </w:pPr>
    <w:rPr>
      <w:i/>
      <w:iCs/>
    </w:rPr>
  </w:style>
  <w:style w:type="character" w:styleId="709">
    <w:name w:val="Strong"/>
    <w:basedOn w:val="691"/>
    <w:uiPriority w:val="22"/>
    <w:qFormat/>
    <w:pPr>
      <w:pBdr/>
      <w:spacing/>
      <w:ind/>
    </w:pPr>
    <w:rPr>
      <w:b/>
      <w:bCs/>
    </w:rPr>
  </w:style>
  <w:style w:type="character" w:styleId="710">
    <w:name w:val="Subtle Reference"/>
    <w:basedOn w:val="6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1">
    <w:name w:val="Book Title"/>
    <w:basedOn w:val="6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2">
    <w:name w:val="Header Char"/>
    <w:basedOn w:val="691"/>
    <w:uiPriority w:val="99"/>
    <w:qFormat/>
    <w:pPr>
      <w:pBdr/>
      <w:spacing/>
      <w:ind/>
    </w:pPr>
  </w:style>
  <w:style w:type="character" w:styleId="713">
    <w:name w:val="Footer Char"/>
    <w:basedOn w:val="691"/>
    <w:uiPriority w:val="99"/>
    <w:qFormat/>
    <w:pPr>
      <w:pBdr/>
      <w:spacing/>
      <w:ind/>
    </w:pPr>
  </w:style>
  <w:style w:type="character" w:styleId="714">
    <w:name w:val="Foot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5">
    <w:name w:val="Символ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6">
    <w:name w:val="footnote reference"/>
    <w:pPr>
      <w:pBdr/>
      <w:spacing/>
      <w:ind/>
    </w:pPr>
    <w:rPr>
      <w:vertAlign w:val="superscript"/>
    </w:rPr>
  </w:style>
  <w:style w:type="character" w:styleId="717">
    <w:name w:val="End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8">
    <w:name w:val="Символ концевой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9">
    <w:name w:val="endnote reference"/>
    <w:pPr>
      <w:pBdr/>
      <w:spacing/>
      <w:ind/>
    </w:pPr>
    <w:rPr>
      <w:vertAlign w:val="superscript"/>
    </w:rPr>
  </w:style>
  <w:style w:type="character" w:styleId="720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1">
    <w:name w:val="FollowedHyperlink"/>
    <w:basedOn w:val="6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2">
    <w:name w:val="Основной шрифт абзаца"/>
    <w:uiPriority w:val="1"/>
    <w:unhideWhenUsed/>
    <w:qFormat/>
    <w:pPr>
      <w:pBdr/>
      <w:spacing/>
      <w:ind/>
    </w:pPr>
  </w:style>
  <w:style w:type="character" w:styleId="723">
    <w:name w:val="Верхний колонтитул Знак"/>
    <w:basedOn w:val="722"/>
    <w:link w:val="741"/>
    <w:uiPriority w:val="99"/>
    <w:qFormat/>
    <w:pPr>
      <w:pBdr/>
      <w:spacing/>
      <w:ind/>
    </w:pPr>
  </w:style>
  <w:style w:type="character" w:styleId="724">
    <w:name w:val="Нижний колонтитул Знак"/>
    <w:basedOn w:val="722"/>
    <w:link w:val="742"/>
    <w:uiPriority w:val="99"/>
    <w:qFormat/>
    <w:pPr>
      <w:pBdr/>
      <w:spacing/>
      <w:ind/>
    </w:pPr>
  </w:style>
  <w:style w:type="character" w:styleId="725">
    <w:name w:val="Текст выноски Знак"/>
    <w:link w:val="757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26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27">
    <w:name w:val="Текст Знак"/>
    <w:link w:val="760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28">
    <w:name w:val="Выделение"/>
    <w:uiPriority w:val="20"/>
    <w:qFormat/>
    <w:pPr>
      <w:pBdr/>
      <w:spacing/>
      <w:ind/>
    </w:pPr>
    <w:rPr>
      <w:i/>
      <w:iCs/>
    </w:rPr>
  </w:style>
  <w:style w:type="paragraph" w:styleId="729">
    <w:name w:val="Заголовок"/>
    <w:basedOn w:val="681"/>
    <w:next w:val="730"/>
    <w:qFormat/>
    <w:pPr>
      <w:keepNext w:val="true"/>
      <w:pBdr/>
      <w:spacing w:after="120" w:before="240"/>
      <w:ind/>
    </w:pPr>
    <w:rPr>
      <w:rFonts w:ascii="Times New Roman" w:hAnsi="Times New Roman" w:eastAsia="Tahoma" w:cs="Noto Sans Devanagari"/>
      <w:sz w:val="28"/>
      <w:szCs w:val="28"/>
    </w:rPr>
  </w:style>
  <w:style w:type="paragraph" w:styleId="730">
    <w:name w:val="Body Text"/>
    <w:basedOn w:val="681"/>
    <w:pPr>
      <w:pBdr/>
      <w:spacing w:after="140" w:before="0" w:line="276" w:lineRule="auto"/>
      <w:ind/>
    </w:pPr>
  </w:style>
  <w:style w:type="paragraph" w:styleId="731">
    <w:name w:val="List"/>
    <w:basedOn w:val="730"/>
    <w:pPr>
      <w:pBdr/>
      <w:spacing/>
      <w:ind/>
    </w:pPr>
    <w:rPr>
      <w:rFonts w:ascii="Times New Roman" w:hAnsi="Times New Roman" w:cs="Noto Sans Devanagari"/>
    </w:rPr>
  </w:style>
  <w:style w:type="paragraph" w:styleId="732">
    <w:name w:val="Caption"/>
    <w:basedOn w:val="681"/>
    <w:next w:val="681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33">
    <w:name w:val="Указатель"/>
    <w:basedOn w:val="681"/>
    <w:qFormat/>
    <w:pPr>
      <w:suppressLineNumbers w:val="true"/>
      <w:pBdr/>
      <w:spacing/>
      <w:ind/>
    </w:pPr>
    <w:rPr>
      <w:rFonts w:ascii="Times New Roman" w:hAnsi="Times New Roman" w:cs="Noto Sans Devanagari"/>
    </w:rPr>
  </w:style>
  <w:style w:type="paragraph" w:styleId="734">
    <w:name w:val="Title"/>
    <w:basedOn w:val="681"/>
    <w:next w:val="681"/>
    <w:link w:val="70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5">
    <w:name w:val="Subtitle"/>
    <w:basedOn w:val="681"/>
    <w:next w:val="681"/>
    <w:link w:val="70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6">
    <w:name w:val="Quote"/>
    <w:basedOn w:val="681"/>
    <w:next w:val="681"/>
    <w:link w:val="70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7">
    <w:name w:val="List Paragraph"/>
    <w:basedOn w:val="681"/>
    <w:uiPriority w:val="34"/>
    <w:qFormat/>
    <w:pPr>
      <w:pBdr/>
      <w:spacing w:after="0" w:before="0"/>
      <w:ind w:left="720"/>
      <w:contextualSpacing w:val="true"/>
    </w:pPr>
  </w:style>
  <w:style w:type="paragraph" w:styleId="738">
    <w:name w:val="Intense Quote"/>
    <w:basedOn w:val="681"/>
    <w:next w:val="681"/>
    <w:link w:val="70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39">
    <w:name w:val="No Spacing"/>
    <w:basedOn w:val="681"/>
    <w:uiPriority w:val="1"/>
    <w:qFormat/>
    <w:pPr>
      <w:pBdr/>
      <w:spacing w:after="0" w:before="0" w:line="240" w:lineRule="auto"/>
      <w:ind/>
    </w:pPr>
  </w:style>
  <w:style w:type="paragraph" w:styleId="740">
    <w:name w:val="Колонтитул"/>
    <w:basedOn w:val="681"/>
    <w:qFormat/>
    <w:pPr>
      <w:pBdr/>
      <w:spacing/>
      <w:ind/>
    </w:pPr>
  </w:style>
  <w:style w:type="paragraph" w:styleId="741">
    <w:name w:val="Header"/>
    <w:basedOn w:val="681"/>
    <w:link w:val="723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42">
    <w:name w:val="Footer"/>
    <w:basedOn w:val="681"/>
    <w:link w:val="72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3">
    <w:name w:val="footnote text"/>
    <w:basedOn w:val="681"/>
    <w:link w:val="71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4">
    <w:name w:val="endnote text"/>
    <w:basedOn w:val="681"/>
    <w:link w:val="71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5">
    <w:name w:val="toc 1"/>
    <w:basedOn w:val="681"/>
    <w:next w:val="681"/>
    <w:uiPriority w:val="39"/>
    <w:unhideWhenUsed/>
    <w:pPr>
      <w:pBdr/>
      <w:spacing w:after="100" w:before="0"/>
      <w:ind/>
    </w:pPr>
  </w:style>
  <w:style w:type="paragraph" w:styleId="746">
    <w:name w:val="toc 2"/>
    <w:basedOn w:val="681"/>
    <w:next w:val="681"/>
    <w:uiPriority w:val="39"/>
    <w:unhideWhenUsed/>
    <w:pPr>
      <w:pBdr/>
      <w:spacing w:after="100" w:before="0"/>
      <w:ind w:left="220"/>
    </w:pPr>
  </w:style>
  <w:style w:type="paragraph" w:styleId="747">
    <w:name w:val="toc 3"/>
    <w:basedOn w:val="681"/>
    <w:next w:val="681"/>
    <w:uiPriority w:val="39"/>
    <w:unhideWhenUsed/>
    <w:pPr>
      <w:pBdr/>
      <w:spacing w:after="100" w:before="0"/>
      <w:ind w:left="440"/>
    </w:pPr>
  </w:style>
  <w:style w:type="paragraph" w:styleId="748">
    <w:name w:val="toc 4"/>
    <w:basedOn w:val="681"/>
    <w:next w:val="681"/>
    <w:uiPriority w:val="39"/>
    <w:unhideWhenUsed/>
    <w:pPr>
      <w:pBdr/>
      <w:spacing w:after="100" w:before="0"/>
      <w:ind w:left="660"/>
    </w:pPr>
  </w:style>
  <w:style w:type="paragraph" w:styleId="749">
    <w:name w:val="toc 5"/>
    <w:basedOn w:val="681"/>
    <w:next w:val="681"/>
    <w:uiPriority w:val="39"/>
    <w:unhideWhenUsed/>
    <w:pPr>
      <w:pBdr/>
      <w:spacing w:after="100" w:before="0"/>
      <w:ind w:left="880"/>
    </w:pPr>
  </w:style>
  <w:style w:type="paragraph" w:styleId="750">
    <w:name w:val="toc 6"/>
    <w:basedOn w:val="681"/>
    <w:next w:val="681"/>
    <w:uiPriority w:val="39"/>
    <w:unhideWhenUsed/>
    <w:pPr>
      <w:pBdr/>
      <w:spacing w:after="100" w:before="0"/>
      <w:ind w:left="1100"/>
    </w:pPr>
  </w:style>
  <w:style w:type="paragraph" w:styleId="751">
    <w:name w:val="toc 7"/>
    <w:basedOn w:val="681"/>
    <w:next w:val="681"/>
    <w:uiPriority w:val="39"/>
    <w:unhideWhenUsed/>
    <w:pPr>
      <w:pBdr/>
      <w:spacing w:after="100" w:before="0"/>
      <w:ind w:left="1320"/>
    </w:pPr>
  </w:style>
  <w:style w:type="paragraph" w:styleId="752">
    <w:name w:val="toc 8"/>
    <w:basedOn w:val="681"/>
    <w:next w:val="681"/>
    <w:uiPriority w:val="39"/>
    <w:unhideWhenUsed/>
    <w:pPr>
      <w:pBdr/>
      <w:spacing w:after="100" w:before="0"/>
      <w:ind w:left="1540"/>
    </w:pPr>
  </w:style>
  <w:style w:type="paragraph" w:styleId="753">
    <w:name w:val="toc 9"/>
    <w:basedOn w:val="681"/>
    <w:next w:val="681"/>
    <w:uiPriority w:val="39"/>
    <w:unhideWhenUsed/>
    <w:pPr>
      <w:pBdr/>
      <w:spacing w:after="100" w:before="0"/>
      <w:ind w:left="1760"/>
    </w:pPr>
  </w:style>
  <w:style w:type="paragraph" w:styleId="754">
    <w:name w:val="Index Heading"/>
    <w:basedOn w:val="729"/>
    <w:pPr>
      <w:pBdr/>
      <w:spacing/>
      <w:ind/>
    </w:pPr>
  </w:style>
  <w:style w:type="paragraph" w:styleId="755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56">
    <w:name w:val="table of figures"/>
    <w:basedOn w:val="681"/>
    <w:next w:val="681"/>
    <w:uiPriority w:val="99"/>
    <w:unhideWhenUsed/>
    <w:pPr>
      <w:pBdr/>
      <w:spacing w:after="0" w:afterAutospacing="0" w:before="0"/>
      <w:ind/>
    </w:pPr>
  </w:style>
  <w:style w:type="paragraph" w:styleId="757">
    <w:name w:val="Текст выноски"/>
    <w:basedOn w:val="681"/>
    <w:link w:val="725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58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59">
    <w:name w:val="Абзац списка"/>
    <w:basedOn w:val="681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60">
    <w:name w:val="Текст"/>
    <w:basedOn w:val="681"/>
    <w:link w:val="727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61">
    <w:name w:val="paragraph scxw163741632 bcx0"/>
    <w:basedOn w:val="681"/>
    <w:qFormat/>
    <w:pPr>
      <w:pBdr/>
      <w:spacing w:afterAutospacing="1" w:beforeAutospacing="1"/>
      <w:ind/>
    </w:pPr>
  </w:style>
  <w:style w:type="numbering" w:styleId="762" w:default="1">
    <w:name w:val="No List"/>
    <w:uiPriority w:val="99"/>
    <w:semiHidden/>
    <w:unhideWhenUsed/>
    <w:qFormat/>
    <w:pPr>
      <w:pBdr/>
      <w:spacing/>
      <w:ind/>
    </w:pPr>
  </w:style>
  <w:style w:type="numbering" w:styleId="763">
    <w:name w:val="Нет списка"/>
    <w:uiPriority w:val="99"/>
    <w:semiHidden/>
    <w:unhideWhenUsed/>
    <w:qFormat/>
    <w:pPr>
      <w:pBdr/>
      <w:spacing/>
      <w:ind/>
    </w:pPr>
  </w:style>
  <w:style w:type="table" w:styleId="764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Table Grid"/>
    <w:basedOn w:val="76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13</cp:revision>
  <dcterms:created xsi:type="dcterms:W3CDTF">2024-06-21T11:13:00Z</dcterms:created>
  <dcterms:modified xsi:type="dcterms:W3CDTF">2026-01-15T06:44:20Z</dcterms:modified>
  <cp:version>786432</cp:version>
</cp:coreProperties>
</file>