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2"/>
        <w:contextualSpacing w:val="0"/>
        <w:ind w:firstLine="567"/>
        <w:jc w:val="center"/>
        <w:spacing w:before="0" w:after="0" w:line="85" w:lineRule="atLeast"/>
        <w:rPr>
          <w:rFonts w:ascii="Roboto" w:hAnsi="Roboto" w:eastAsia="Roboto" w:cs="Roboto"/>
          <w:b/>
          <w:bCs/>
          <w:color w:val="000000"/>
          <w:sz w:val="24"/>
          <w:szCs w:val="24"/>
          <w:highlight w:val="white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Roboto" w:hAnsi="Roboto" w:eastAsia="Roboto" w:cs="Roboto"/>
          <w:b/>
          <w:bCs/>
          <w:color w:val="000000"/>
          <w:sz w:val="24"/>
          <w:szCs w:val="24"/>
          <w:highlight w:val="white"/>
        </w:rPr>
      </w:r>
      <w:r>
        <w:rPr>
          <w:rFonts w:ascii="Roboto" w:hAnsi="Roboto" w:eastAsia="Roboto" w:cs="Roboto"/>
          <w:b/>
          <w:bCs/>
          <w:color w:val="000000"/>
          <w:sz w:val="24"/>
          <w:szCs w:val="24"/>
          <w:highlight w:val="white"/>
        </w:rPr>
      </w:r>
    </w:p>
    <w:p>
      <w:pPr>
        <w:ind w:left="0" w:right="113" w:firstLine="851"/>
        <w:jc w:val="center"/>
        <w:spacing w:line="283" w:lineRule="exact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Запись о невозможности государственной регистрации прав без личного участия правообладателя поможет защитить вашу собственность</w:t>
      </w:r>
      <w:r>
        <w:rPr>
          <w:b/>
          <w:bCs/>
        </w:rPr>
      </w:r>
      <w:r>
        <w:rPr>
          <w:b/>
          <w:bCs/>
          <w:sz w:val="28"/>
          <w:szCs w:val="28"/>
        </w:rPr>
      </w:r>
    </w:p>
    <w:p>
      <w:pPr>
        <w:ind w:left="0" w:right="113" w:firstLine="851"/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113" w:firstLine="851"/>
        <w:jc w:val="both"/>
        <w:spacing w:line="283" w:lineRule="exact"/>
        <w:rPr>
          <w:sz w:val="28"/>
          <w:szCs w:val="28"/>
        </w:rPr>
      </w:pPr>
      <w:r>
        <w:rPr>
          <w:sz w:val="26"/>
          <w:szCs w:val="26"/>
        </w:rPr>
        <w:t xml:space="preserve">Снизить риски совершения противоправных действий в отношении своих объектов недвижимости поможет обращение собственника с </w:t>
      </w:r>
      <w:r>
        <w:rPr>
          <w:sz w:val="26"/>
          <w:szCs w:val="26"/>
        </w:rPr>
        <w:t xml:space="preserve">заявлением о запрете осуществления регистрационных действий без его личного участия.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113" w:firstLine="851"/>
        <w:jc w:val="both"/>
        <w:spacing w:line="283" w:lineRule="exact"/>
        <w:rPr>
          <w:sz w:val="28"/>
          <w:szCs w:val="28"/>
          <w:highlight w:val="none"/>
        </w:rPr>
      </w:pPr>
      <w:r>
        <w:rPr>
          <w:sz w:val="26"/>
          <w:szCs w:val="26"/>
        </w:rPr>
        <w:t xml:space="preserve">Внести </w:t>
      </w: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Единый государственный реестр недвижимости (далее - ЕГРН)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такую отметку</w:t>
      </w:r>
      <w:r>
        <w:rPr>
          <w:sz w:val="26"/>
          <w:szCs w:val="26"/>
        </w:rPr>
        <w:t xml:space="preserve"> можно в отношении</w:t>
      </w:r>
      <w:r>
        <w:rPr>
          <w:sz w:val="26"/>
          <w:szCs w:val="26"/>
        </w:rPr>
        <w:t xml:space="preserve"> любо</w:t>
      </w:r>
      <w:r>
        <w:rPr>
          <w:sz w:val="26"/>
          <w:szCs w:val="26"/>
        </w:rPr>
        <w:t xml:space="preserve">го объекта </w:t>
      </w:r>
      <w:r>
        <w:rPr>
          <w:sz w:val="26"/>
          <w:szCs w:val="26"/>
        </w:rPr>
        <w:t xml:space="preserve">недвижимого имущества, права </w:t>
      </w:r>
      <w:r>
        <w:rPr>
          <w:sz w:val="26"/>
          <w:szCs w:val="26"/>
        </w:rPr>
        <w:t xml:space="preserve">на который </w:t>
      </w:r>
      <w:r>
        <w:rPr>
          <w:sz w:val="26"/>
          <w:szCs w:val="26"/>
        </w:rPr>
        <w:t xml:space="preserve">зарегистрированы в ЕГРН (квартира, комната, земельный участок, </w:t>
      </w:r>
      <w:r>
        <w:rPr>
          <w:sz w:val="26"/>
          <w:szCs w:val="26"/>
        </w:rPr>
        <w:t xml:space="preserve">машино</w:t>
      </w:r>
      <w:r>
        <w:rPr>
          <w:sz w:val="26"/>
          <w:szCs w:val="26"/>
        </w:rPr>
        <w:t xml:space="preserve">-место и т.д.). Если собственников несколько, то наложить ограничение на сделки можно только </w:t>
      </w:r>
      <w:r>
        <w:rPr>
          <w:sz w:val="26"/>
          <w:szCs w:val="26"/>
        </w:rPr>
        <w:t xml:space="preserve">в отношении</w:t>
      </w:r>
      <w:r>
        <w:rPr>
          <w:sz w:val="26"/>
          <w:szCs w:val="26"/>
        </w:rPr>
        <w:t xml:space="preserve"> сво</w:t>
      </w:r>
      <w:r>
        <w:rPr>
          <w:sz w:val="26"/>
          <w:szCs w:val="26"/>
        </w:rPr>
        <w:t xml:space="preserve">ей</w:t>
      </w:r>
      <w:r>
        <w:rPr>
          <w:sz w:val="26"/>
          <w:szCs w:val="26"/>
        </w:rPr>
        <w:t xml:space="preserve"> дол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в праве на объект недвижимости.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0" w:right="113" w:firstLine="851"/>
        <w:jc w:val="both"/>
        <w:spacing w:line="283" w:lineRule="exact"/>
        <w:rPr>
          <w:sz w:val="28"/>
          <w:szCs w:val="28"/>
        </w:rPr>
      </w:pPr>
      <w:r>
        <w:rPr>
          <w:sz w:val="26"/>
          <w:szCs w:val="26"/>
        </w:rPr>
        <w:t xml:space="preserve">Собственнику недвижимости, его законному п</w:t>
      </w:r>
      <w:r>
        <w:rPr>
          <w:sz w:val="26"/>
          <w:szCs w:val="26"/>
        </w:rPr>
        <w:t xml:space="preserve">редставителю (родителю, опекуну, исполнительному органу юридического лица) или представителю, действующему на основании нотариально удостоверенной доверенности, достаточно подать заявление о запрете регистрации сделок без личного участия, обратившись в МФЦ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113" w:firstLine="851"/>
        <w:jc w:val="both"/>
        <w:spacing w:line="283" w:lineRule="exact"/>
        <w:rPr>
          <w:sz w:val="28"/>
          <w:szCs w:val="28"/>
        </w:rPr>
      </w:pPr>
      <w:r>
        <w:rPr>
          <w:sz w:val="26"/>
          <w:szCs w:val="26"/>
        </w:rPr>
        <w:t xml:space="preserve">Т</w:t>
      </w:r>
      <w:r>
        <w:rPr>
          <w:sz w:val="26"/>
          <w:szCs w:val="26"/>
        </w:rPr>
        <w:t xml:space="preserve">акже </w:t>
      </w:r>
      <w:r>
        <w:rPr>
          <w:sz w:val="26"/>
          <w:szCs w:val="26"/>
        </w:rPr>
        <w:t xml:space="preserve">заявление можно подать </w:t>
      </w:r>
      <w:r>
        <w:rPr>
          <w:sz w:val="26"/>
          <w:szCs w:val="26"/>
        </w:rPr>
        <w:t xml:space="preserve">в личном кабинете на сайте Росреестра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без подписания заявления усиленной квалифицированной электронной подписью заявителя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113" w:firstLine="851"/>
        <w:jc w:val="both"/>
        <w:spacing w:line="283" w:lineRule="exact"/>
        <w:rPr>
          <w:sz w:val="28"/>
          <w:szCs w:val="28"/>
        </w:rPr>
      </w:pPr>
      <w:r>
        <w:rPr>
          <w:sz w:val="26"/>
          <w:szCs w:val="26"/>
        </w:rPr>
        <w:t xml:space="preserve">После подачи заявления в течение 5 рабочих дней в ЕГРН вносится соответствующая запись.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113" w:firstLine="851"/>
        <w:jc w:val="both"/>
        <w:spacing w:line="283" w:lineRule="exact"/>
        <w:rPr>
          <w:sz w:val="28"/>
          <w:szCs w:val="28"/>
        </w:rPr>
      </w:pPr>
      <w:r>
        <w:rPr>
          <w:sz w:val="26"/>
          <w:szCs w:val="26"/>
        </w:rPr>
        <w:t xml:space="preserve">Наличие отметки о невозможности проведения государственной регистрации права без личного участия является основанием для возврата документов, представленных иным лицом, без рассмотрения.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113" w:firstLine="851"/>
        <w:jc w:val="both"/>
        <w:spacing w:line="283" w:lineRule="exact"/>
        <w:rPr>
          <w:sz w:val="28"/>
          <w:szCs w:val="28"/>
        </w:rPr>
      </w:pPr>
      <w:r>
        <w:rPr>
          <w:sz w:val="26"/>
          <w:szCs w:val="26"/>
        </w:rPr>
        <w:t xml:space="preserve">Следует учитывать, что такой запрет не действует, </w:t>
      </w:r>
      <w:r>
        <w:rPr>
          <w:sz w:val="26"/>
          <w:szCs w:val="26"/>
        </w:rPr>
        <w:t xml:space="preserve">например, </w:t>
      </w:r>
      <w:r>
        <w:rPr>
          <w:sz w:val="26"/>
          <w:szCs w:val="26"/>
        </w:rPr>
        <w:t xml:space="preserve">если недвижимость продаётся по решению суда или судебного пристава.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113" w:firstLine="851"/>
        <w:jc w:val="both"/>
        <w:spacing w:line="283" w:lineRule="exact"/>
        <w:rPr>
          <w:sz w:val="28"/>
          <w:szCs w:val="28"/>
        </w:rPr>
      </w:pPr>
      <w:r>
        <w:rPr>
          <w:sz w:val="26"/>
          <w:szCs w:val="26"/>
        </w:rPr>
        <w:t xml:space="preserve">За внесение в ЕГРН записи о невозможности государственной регистрации без личного участия правообладателя государственная пошлина не взимается.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2" w:tooltip="mailto:A.Vorobeva@r10.rosreestr.ru" w:history="1">
        <w:r>
          <w:rPr>
            <w:rStyle w:val="901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871"/>
    <w:link w:val="866"/>
    <w:uiPriority w:val="9"/>
    <w:rPr>
      <w:rFonts w:ascii="Arial" w:hAnsi="Arial" w:eastAsia="Arial" w:cs="Arial"/>
      <w:sz w:val="40"/>
      <w:szCs w:val="40"/>
    </w:rPr>
  </w:style>
  <w:style w:type="character" w:styleId="710">
    <w:name w:val="Heading 2 Char"/>
    <w:basedOn w:val="871"/>
    <w:link w:val="867"/>
    <w:uiPriority w:val="9"/>
    <w:rPr>
      <w:rFonts w:ascii="Arial" w:hAnsi="Arial" w:eastAsia="Arial" w:cs="Arial"/>
      <w:sz w:val="34"/>
    </w:rPr>
  </w:style>
  <w:style w:type="character" w:styleId="711">
    <w:name w:val="Heading 3 Char"/>
    <w:basedOn w:val="871"/>
    <w:link w:val="868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871"/>
    <w:link w:val="869"/>
    <w:uiPriority w:val="9"/>
    <w:rPr>
      <w:rFonts w:ascii="Arial" w:hAnsi="Arial" w:eastAsia="Arial" w:cs="Arial"/>
      <w:b/>
      <w:bCs/>
      <w:sz w:val="26"/>
      <w:szCs w:val="26"/>
    </w:rPr>
  </w:style>
  <w:style w:type="character" w:styleId="713">
    <w:name w:val="Heading 5 Char"/>
    <w:basedOn w:val="871"/>
    <w:link w:val="870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65"/>
    <w:next w:val="865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71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65"/>
    <w:next w:val="865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71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65"/>
    <w:next w:val="865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71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65"/>
    <w:next w:val="865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7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22">
    <w:name w:val="Title Char"/>
    <w:basedOn w:val="871"/>
    <w:link w:val="927"/>
    <w:uiPriority w:val="10"/>
    <w:rPr>
      <w:sz w:val="48"/>
      <w:szCs w:val="48"/>
    </w:rPr>
  </w:style>
  <w:style w:type="character" w:styleId="723">
    <w:name w:val="Subtitle Char"/>
    <w:basedOn w:val="871"/>
    <w:link w:val="923"/>
    <w:uiPriority w:val="11"/>
    <w:rPr>
      <w:sz w:val="24"/>
      <w:szCs w:val="24"/>
    </w:rPr>
  </w:style>
  <w:style w:type="paragraph" w:styleId="724">
    <w:name w:val="Quote"/>
    <w:basedOn w:val="865"/>
    <w:next w:val="865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65"/>
    <w:next w:val="865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1"/>
    <w:link w:val="908"/>
    <w:uiPriority w:val="99"/>
  </w:style>
  <w:style w:type="character" w:styleId="729">
    <w:name w:val="Footer Char"/>
    <w:basedOn w:val="871"/>
    <w:link w:val="933"/>
    <w:uiPriority w:val="99"/>
  </w:style>
  <w:style w:type="paragraph" w:styleId="730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933"/>
    <w:uiPriority w:val="99"/>
  </w:style>
  <w:style w:type="table" w:styleId="732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8">
    <w:name w:val="footnote text"/>
    <w:basedOn w:val="86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paragraph" w:styleId="860">
    <w:name w:val="endnote text"/>
    <w:basedOn w:val="865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1"/>
    <w:uiPriority w:val="99"/>
    <w:semiHidden/>
    <w:unhideWhenUsed/>
    <w:rPr>
      <w:vertAlign w:val="superscript"/>
    </w:r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link w:val="874"/>
    <w:qFormat/>
    <w:rPr>
      <w:rFonts w:ascii="Times New Roman" w:hAnsi="Times New Roman"/>
      <w:sz w:val="24"/>
    </w:rPr>
  </w:style>
  <w:style w:type="paragraph" w:styleId="866">
    <w:name w:val="Heading 1"/>
    <w:basedOn w:val="865"/>
    <w:link w:val="89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7">
    <w:name w:val="Heading 2"/>
    <w:next w:val="865"/>
    <w:link w:val="93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8">
    <w:name w:val="Heading 3"/>
    <w:next w:val="865"/>
    <w:link w:val="883"/>
    <w:uiPriority w:val="9"/>
    <w:qFormat/>
    <w:pPr>
      <w:outlineLvl w:val="2"/>
    </w:pPr>
    <w:rPr>
      <w:rFonts w:ascii="XO Thames" w:hAnsi="XO Thames"/>
      <w:b/>
      <w:i/>
    </w:rPr>
  </w:style>
  <w:style w:type="paragraph" w:styleId="869">
    <w:name w:val="Heading 4"/>
    <w:next w:val="865"/>
    <w:link w:val="92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0">
    <w:name w:val="Heading 5"/>
    <w:next w:val="865"/>
    <w:link w:val="89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character" w:styleId="874" w:customStyle="1">
    <w:name w:val="Обычный1"/>
    <w:rPr>
      <w:rFonts w:ascii="Times New Roman" w:hAnsi="Times New Roman"/>
      <w:sz w:val="24"/>
    </w:rPr>
  </w:style>
  <w:style w:type="paragraph" w:styleId="875">
    <w:name w:val="toc 2"/>
    <w:next w:val="865"/>
    <w:link w:val="876"/>
    <w:uiPriority w:val="39"/>
    <w:pPr>
      <w:ind w:left="200"/>
    </w:pPr>
  </w:style>
  <w:style w:type="character" w:styleId="876" w:customStyle="1">
    <w:name w:val="Оглавление 2 Знак"/>
    <w:link w:val="875"/>
  </w:style>
  <w:style w:type="paragraph" w:styleId="877">
    <w:name w:val="toc 4"/>
    <w:next w:val="865"/>
    <w:link w:val="878"/>
    <w:uiPriority w:val="39"/>
    <w:pPr>
      <w:ind w:left="600"/>
    </w:pPr>
  </w:style>
  <w:style w:type="character" w:styleId="878" w:customStyle="1">
    <w:name w:val="Оглавление 4 Знак"/>
    <w:link w:val="877"/>
  </w:style>
  <w:style w:type="paragraph" w:styleId="879">
    <w:name w:val="toc 6"/>
    <w:next w:val="865"/>
    <w:link w:val="880"/>
    <w:uiPriority w:val="39"/>
    <w:pPr>
      <w:ind w:left="1000"/>
    </w:pPr>
  </w:style>
  <w:style w:type="character" w:styleId="880" w:customStyle="1">
    <w:name w:val="Оглавление 6 Знак"/>
    <w:link w:val="879"/>
  </w:style>
  <w:style w:type="paragraph" w:styleId="881">
    <w:name w:val="toc 7"/>
    <w:next w:val="865"/>
    <w:link w:val="882"/>
    <w:uiPriority w:val="39"/>
    <w:pPr>
      <w:ind w:left="1200"/>
    </w:pPr>
  </w:style>
  <w:style w:type="character" w:styleId="882" w:customStyle="1">
    <w:name w:val="Оглавление 7 Знак"/>
    <w:link w:val="881"/>
  </w:style>
  <w:style w:type="character" w:styleId="883" w:customStyle="1">
    <w:name w:val="Заголовок 3 Знак"/>
    <w:link w:val="868"/>
    <w:rPr>
      <w:rFonts w:ascii="XO Thames" w:hAnsi="XO Thames"/>
      <w:b/>
      <w:i/>
      <w:color w:val="000000"/>
    </w:rPr>
  </w:style>
  <w:style w:type="paragraph" w:styleId="884" w:customStyle="1">
    <w:name w:val="article_decoration_first"/>
    <w:basedOn w:val="865"/>
    <w:link w:val="885"/>
    <w:pPr>
      <w:spacing w:beforeAutospacing="1" w:afterAutospacing="1"/>
    </w:pPr>
  </w:style>
  <w:style w:type="character" w:styleId="885" w:customStyle="1">
    <w:name w:val="article_decoration_first"/>
    <w:basedOn w:val="874"/>
    <w:link w:val="884"/>
    <w:rPr>
      <w:rFonts w:ascii="Times New Roman" w:hAnsi="Times New Roman"/>
      <w:sz w:val="24"/>
    </w:rPr>
  </w:style>
  <w:style w:type="paragraph" w:styleId="886" w:customStyle="1">
    <w:name w:val="Строгий1"/>
    <w:basedOn w:val="916"/>
    <w:link w:val="887"/>
    <w:rPr>
      <w:b/>
    </w:rPr>
  </w:style>
  <w:style w:type="character" w:styleId="887">
    <w:name w:val="Strong"/>
    <w:basedOn w:val="871"/>
    <w:link w:val="886"/>
    <w:rPr>
      <w:b/>
    </w:rPr>
  </w:style>
  <w:style w:type="paragraph" w:styleId="888">
    <w:name w:val="Balloon Text"/>
    <w:basedOn w:val="865"/>
    <w:link w:val="889"/>
    <w:rPr>
      <w:rFonts w:ascii="Tahoma" w:hAnsi="Tahoma"/>
      <w:sz w:val="16"/>
    </w:rPr>
  </w:style>
  <w:style w:type="character" w:styleId="889" w:customStyle="1">
    <w:name w:val="Текст выноски Знак"/>
    <w:basedOn w:val="874"/>
    <w:link w:val="888"/>
    <w:rPr>
      <w:rFonts w:ascii="Tahoma" w:hAnsi="Tahoma"/>
      <w:sz w:val="16"/>
    </w:rPr>
  </w:style>
  <w:style w:type="paragraph" w:styleId="890" w:customStyle="1">
    <w:name w:val="ConsPlusNormal"/>
    <w:link w:val="891"/>
    <w:pPr>
      <w:ind w:firstLine="720"/>
    </w:pPr>
    <w:rPr>
      <w:rFonts w:ascii="Arial" w:hAnsi="Arial"/>
    </w:rPr>
  </w:style>
  <w:style w:type="character" w:styleId="891" w:customStyle="1">
    <w:name w:val="ConsPlusNormal"/>
    <w:link w:val="890"/>
    <w:rPr>
      <w:rFonts w:ascii="Arial" w:hAnsi="Arial"/>
    </w:rPr>
  </w:style>
  <w:style w:type="paragraph" w:styleId="892">
    <w:name w:val="toc 3"/>
    <w:next w:val="865"/>
    <w:link w:val="893"/>
    <w:uiPriority w:val="39"/>
    <w:pPr>
      <w:ind w:left="400"/>
    </w:pPr>
  </w:style>
  <w:style w:type="character" w:styleId="893" w:customStyle="1">
    <w:name w:val="Оглавление 3 Знак"/>
    <w:link w:val="892"/>
  </w:style>
  <w:style w:type="paragraph" w:styleId="894" w:customStyle="1">
    <w:name w:val="Просмотренная гиперссылка1"/>
    <w:basedOn w:val="916"/>
    <w:link w:val="895"/>
    <w:rPr>
      <w:color w:val="800080"/>
      <w:u w:val="single"/>
    </w:rPr>
  </w:style>
  <w:style w:type="character" w:styleId="895">
    <w:name w:val="FollowedHyperlink"/>
    <w:basedOn w:val="871"/>
    <w:link w:val="894"/>
    <w:rPr>
      <w:color w:val="800080"/>
      <w:u w:val="single"/>
    </w:rPr>
  </w:style>
  <w:style w:type="character" w:styleId="896" w:customStyle="1">
    <w:name w:val="Заголовок 5 Знак"/>
    <w:link w:val="870"/>
    <w:rPr>
      <w:rFonts w:ascii="XO Thames" w:hAnsi="XO Thames"/>
      <w:b/>
      <w:color w:val="000000"/>
      <w:sz w:val="22"/>
    </w:rPr>
  </w:style>
  <w:style w:type="character" w:styleId="897" w:customStyle="1">
    <w:name w:val="Заголовок 1 Знак"/>
    <w:basedOn w:val="874"/>
    <w:link w:val="866"/>
    <w:rPr>
      <w:rFonts w:ascii="Times New Roman" w:hAnsi="Times New Roman"/>
      <w:b/>
      <w:sz w:val="48"/>
    </w:rPr>
  </w:style>
  <w:style w:type="paragraph" w:styleId="898">
    <w:name w:val="No Spacing"/>
    <w:link w:val="899"/>
    <w:uiPriority w:val="1"/>
    <w:qFormat/>
    <w:rPr>
      <w:sz w:val="22"/>
    </w:rPr>
  </w:style>
  <w:style w:type="character" w:styleId="899" w:customStyle="1">
    <w:name w:val="Без интервала Знак"/>
    <w:link w:val="898"/>
    <w:uiPriority w:val="1"/>
    <w:rPr>
      <w:sz w:val="22"/>
    </w:rPr>
  </w:style>
  <w:style w:type="paragraph" w:styleId="900" w:customStyle="1">
    <w:name w:val="Гиперссылка1"/>
    <w:link w:val="901"/>
    <w:rPr>
      <w:color w:val="0000ff"/>
      <w:u w:val="single"/>
    </w:rPr>
  </w:style>
  <w:style w:type="character" w:styleId="901">
    <w:name w:val="Hyperlink"/>
    <w:link w:val="900"/>
    <w:uiPriority w:val="99"/>
    <w:rPr>
      <w:color w:val="0000ff"/>
      <w:u w:val="single"/>
    </w:rPr>
  </w:style>
  <w:style w:type="paragraph" w:styleId="902" w:customStyle="1">
    <w:name w:val="Footnote"/>
    <w:basedOn w:val="865"/>
    <w:link w:val="903"/>
    <w:rPr>
      <w:sz w:val="20"/>
    </w:rPr>
  </w:style>
  <w:style w:type="character" w:styleId="903" w:customStyle="1">
    <w:name w:val="Footnote"/>
    <w:basedOn w:val="874"/>
    <w:link w:val="902"/>
    <w:rPr>
      <w:rFonts w:ascii="Times New Roman" w:hAnsi="Times New Roman"/>
      <w:sz w:val="20"/>
    </w:rPr>
  </w:style>
  <w:style w:type="paragraph" w:styleId="904">
    <w:name w:val="toc 1"/>
    <w:next w:val="865"/>
    <w:link w:val="905"/>
    <w:uiPriority w:val="39"/>
    <w:rPr>
      <w:rFonts w:ascii="XO Thames" w:hAnsi="XO Thames"/>
      <w:b/>
    </w:rPr>
  </w:style>
  <w:style w:type="character" w:styleId="905" w:customStyle="1">
    <w:name w:val="Оглавление 1 Знак"/>
    <w:link w:val="904"/>
    <w:rPr>
      <w:rFonts w:ascii="XO Thames" w:hAnsi="XO Thames"/>
      <w:b/>
    </w:rPr>
  </w:style>
  <w:style w:type="paragraph" w:styleId="906" w:customStyle="1">
    <w:name w:val="Header and Footer"/>
    <w:link w:val="907"/>
    <w:pPr>
      <w:spacing w:line="360" w:lineRule="auto"/>
    </w:pPr>
    <w:rPr>
      <w:rFonts w:ascii="XO Thames" w:hAnsi="XO Thames"/>
    </w:rPr>
  </w:style>
  <w:style w:type="character" w:styleId="907" w:customStyle="1">
    <w:name w:val="Header and Footer"/>
    <w:link w:val="906"/>
    <w:rPr>
      <w:rFonts w:ascii="XO Thames" w:hAnsi="XO Thames"/>
      <w:sz w:val="20"/>
    </w:rPr>
  </w:style>
  <w:style w:type="paragraph" w:styleId="908">
    <w:name w:val="Header"/>
    <w:basedOn w:val="865"/>
    <w:link w:val="90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9" w:customStyle="1">
    <w:name w:val="Верхний колонтитул Знак"/>
    <w:basedOn w:val="874"/>
    <w:link w:val="908"/>
    <w:rPr>
      <w:rFonts w:ascii="Calibri" w:hAnsi="Calibri"/>
      <w:sz w:val="22"/>
    </w:rPr>
  </w:style>
  <w:style w:type="paragraph" w:styleId="910">
    <w:name w:val="toc 9"/>
    <w:next w:val="865"/>
    <w:link w:val="911"/>
    <w:uiPriority w:val="39"/>
    <w:pPr>
      <w:ind w:left="1600"/>
    </w:pPr>
  </w:style>
  <w:style w:type="character" w:styleId="911" w:customStyle="1">
    <w:name w:val="Оглавление 9 Знак"/>
    <w:link w:val="910"/>
  </w:style>
  <w:style w:type="paragraph" w:styleId="912">
    <w:name w:val="Normal (Web)"/>
    <w:basedOn w:val="865"/>
    <w:link w:val="913"/>
    <w:uiPriority w:val="99"/>
    <w:pPr>
      <w:spacing w:beforeAutospacing="1" w:afterAutospacing="1"/>
    </w:pPr>
  </w:style>
  <w:style w:type="character" w:styleId="913" w:customStyle="1">
    <w:name w:val="Обычный (веб) Знак"/>
    <w:basedOn w:val="874"/>
    <w:link w:val="912"/>
    <w:uiPriority w:val="99"/>
    <w:rPr>
      <w:rFonts w:ascii="Times New Roman" w:hAnsi="Times New Roman"/>
      <w:sz w:val="24"/>
    </w:rPr>
  </w:style>
  <w:style w:type="paragraph" w:styleId="914">
    <w:name w:val="toc 8"/>
    <w:next w:val="865"/>
    <w:link w:val="915"/>
    <w:uiPriority w:val="39"/>
    <w:pPr>
      <w:ind w:left="1400"/>
    </w:pPr>
  </w:style>
  <w:style w:type="character" w:styleId="915" w:customStyle="1">
    <w:name w:val="Оглавление 8 Знак"/>
    <w:link w:val="914"/>
  </w:style>
  <w:style w:type="paragraph" w:styleId="916" w:customStyle="1">
    <w:name w:val="Основной шрифт абзаца1"/>
  </w:style>
  <w:style w:type="paragraph" w:styleId="917">
    <w:name w:val="List Paragraph"/>
    <w:basedOn w:val="865"/>
    <w:link w:val="918"/>
    <w:uiPriority w:val="34"/>
    <w:qFormat/>
    <w:pPr>
      <w:contextualSpacing/>
      <w:ind w:left="720"/>
    </w:pPr>
  </w:style>
  <w:style w:type="character" w:styleId="918" w:customStyle="1">
    <w:name w:val="Абзац списка Знак"/>
    <w:basedOn w:val="874"/>
    <w:link w:val="917"/>
    <w:rPr>
      <w:rFonts w:ascii="Times New Roman" w:hAnsi="Times New Roman"/>
      <w:sz w:val="24"/>
    </w:rPr>
  </w:style>
  <w:style w:type="paragraph" w:styleId="919">
    <w:name w:val="toc 5"/>
    <w:next w:val="865"/>
    <w:link w:val="920"/>
    <w:uiPriority w:val="39"/>
    <w:pPr>
      <w:ind w:left="800"/>
    </w:pPr>
  </w:style>
  <w:style w:type="character" w:styleId="920" w:customStyle="1">
    <w:name w:val="Оглавление 5 Знак"/>
    <w:link w:val="919"/>
  </w:style>
  <w:style w:type="paragraph" w:styleId="921">
    <w:name w:val="Plain Text"/>
    <w:basedOn w:val="865"/>
    <w:link w:val="922"/>
    <w:uiPriority w:val="99"/>
    <w:rPr>
      <w:rFonts w:ascii="Consolas" w:hAnsi="Consolas"/>
      <w:sz w:val="21"/>
    </w:rPr>
  </w:style>
  <w:style w:type="character" w:styleId="922" w:customStyle="1">
    <w:name w:val="Текст Знак"/>
    <w:basedOn w:val="874"/>
    <w:link w:val="921"/>
    <w:uiPriority w:val="99"/>
    <w:rPr>
      <w:rFonts w:ascii="Consolas" w:hAnsi="Consolas"/>
      <w:sz w:val="21"/>
    </w:rPr>
  </w:style>
  <w:style w:type="paragraph" w:styleId="923">
    <w:name w:val="Subtitle"/>
    <w:next w:val="865"/>
    <w:link w:val="924"/>
    <w:uiPriority w:val="11"/>
    <w:qFormat/>
    <w:rPr>
      <w:rFonts w:ascii="XO Thames" w:hAnsi="XO Thames"/>
      <w:i/>
      <w:color w:val="616161"/>
      <w:sz w:val="24"/>
    </w:rPr>
  </w:style>
  <w:style w:type="character" w:styleId="924" w:customStyle="1">
    <w:name w:val="Подзаголовок Знак"/>
    <w:link w:val="923"/>
    <w:rPr>
      <w:rFonts w:ascii="XO Thames" w:hAnsi="XO Thames"/>
      <w:i/>
      <w:color w:val="616161"/>
      <w:sz w:val="24"/>
    </w:rPr>
  </w:style>
  <w:style w:type="paragraph" w:styleId="925" w:customStyle="1">
    <w:name w:val="toc 10"/>
    <w:next w:val="865"/>
    <w:link w:val="926"/>
    <w:uiPriority w:val="39"/>
    <w:pPr>
      <w:ind w:left="1800"/>
    </w:pPr>
  </w:style>
  <w:style w:type="character" w:styleId="926" w:customStyle="1">
    <w:name w:val="toc 10"/>
    <w:link w:val="925"/>
  </w:style>
  <w:style w:type="paragraph" w:styleId="927">
    <w:name w:val="Title"/>
    <w:next w:val="865"/>
    <w:link w:val="928"/>
    <w:uiPriority w:val="10"/>
    <w:qFormat/>
    <w:rPr>
      <w:rFonts w:ascii="XO Thames" w:hAnsi="XO Thames"/>
      <w:b/>
      <w:sz w:val="52"/>
    </w:rPr>
  </w:style>
  <w:style w:type="character" w:styleId="928" w:customStyle="1">
    <w:name w:val="Название Знак"/>
    <w:link w:val="927"/>
    <w:rPr>
      <w:rFonts w:ascii="XO Thames" w:hAnsi="XO Thames"/>
      <w:b/>
      <w:sz w:val="52"/>
    </w:rPr>
  </w:style>
  <w:style w:type="character" w:styleId="929" w:customStyle="1">
    <w:name w:val="Заголовок 4 Знак"/>
    <w:link w:val="869"/>
    <w:rPr>
      <w:rFonts w:ascii="XO Thames" w:hAnsi="XO Thames"/>
      <w:b/>
      <w:color w:val="595959"/>
      <w:sz w:val="26"/>
    </w:rPr>
  </w:style>
  <w:style w:type="character" w:styleId="930" w:customStyle="1">
    <w:name w:val="Заголовок 2 Знак"/>
    <w:link w:val="867"/>
    <w:rPr>
      <w:rFonts w:ascii="XO Thames" w:hAnsi="XO Thames"/>
      <w:b/>
      <w:color w:val="00a0ff"/>
      <w:sz w:val="26"/>
    </w:rPr>
  </w:style>
  <w:style w:type="paragraph" w:styleId="931" w:customStyle="1">
    <w:name w:val="Знак сноски1"/>
    <w:basedOn w:val="916"/>
    <w:link w:val="932"/>
    <w:rPr>
      <w:vertAlign w:val="superscript"/>
    </w:rPr>
  </w:style>
  <w:style w:type="character" w:styleId="932">
    <w:name w:val="footnote reference"/>
    <w:basedOn w:val="871"/>
    <w:link w:val="931"/>
    <w:rPr>
      <w:vertAlign w:val="superscript"/>
    </w:rPr>
  </w:style>
  <w:style w:type="paragraph" w:styleId="933">
    <w:name w:val="Footer"/>
    <w:basedOn w:val="865"/>
    <w:link w:val="934"/>
    <w:pPr>
      <w:tabs>
        <w:tab w:val="center" w:pos="4677" w:leader="none"/>
        <w:tab w:val="right" w:pos="9355" w:leader="none"/>
      </w:tabs>
    </w:pPr>
  </w:style>
  <w:style w:type="character" w:styleId="934" w:customStyle="1">
    <w:name w:val="Нижний колонтитул Знак"/>
    <w:basedOn w:val="874"/>
    <w:link w:val="933"/>
    <w:rPr>
      <w:rFonts w:ascii="Times New Roman" w:hAnsi="Times New Roman"/>
      <w:sz w:val="24"/>
    </w:rPr>
  </w:style>
  <w:style w:type="character" w:styleId="935" w:customStyle="1">
    <w:name w:val="Основной текст (2) + 11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6" w:customStyle="1">
    <w:name w:val="Подпись к таблице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7" w:customStyle="1">
    <w:name w:val="Font Style11"/>
    <w:basedOn w:val="871"/>
    <w:rPr>
      <w:rFonts w:hint="default" w:ascii="Times New Roman" w:hAnsi="Times New Roman" w:cs="Times New Roman"/>
      <w:sz w:val="24"/>
      <w:szCs w:val="24"/>
    </w:rPr>
  </w:style>
  <w:style w:type="character" w:styleId="938" w:customStyle="1">
    <w:name w:val="Основной текст_"/>
    <w:basedOn w:val="871"/>
    <w:link w:val="939"/>
    <w:rPr>
      <w:rFonts w:ascii="Times New Roman" w:hAnsi="Times New Roman"/>
      <w:sz w:val="27"/>
      <w:szCs w:val="27"/>
      <w:shd w:val="clear" w:color="auto" w:fill="ffffff"/>
    </w:rPr>
  </w:style>
  <w:style w:type="paragraph" w:styleId="939" w:customStyle="1">
    <w:name w:val="Основной текст1"/>
    <w:basedOn w:val="865"/>
    <w:link w:val="93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0">
    <w:name w:val="Emphasis"/>
    <w:basedOn w:val="871"/>
    <w:uiPriority w:val="20"/>
    <w:qFormat/>
    <w:rPr>
      <w:i/>
      <w:iCs/>
    </w:rPr>
  </w:style>
  <w:style w:type="paragraph" w:styleId="941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2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18</cp:revision>
  <dcterms:created xsi:type="dcterms:W3CDTF">2024-07-05T06:34:00Z</dcterms:created>
  <dcterms:modified xsi:type="dcterms:W3CDTF">2026-02-12T06:27:11Z</dcterms:modified>
</cp:coreProperties>
</file>