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center"/>
        <w:spacing w:before="0" w:after="0" w:line="283" w:lineRule="exact"/>
        <w:rPr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Граница Вашего участка – это важно!</w:t>
      </w:r>
      <w:r>
        <w:rPr>
          <w:b/>
          <w:bCs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709"/>
        <w:jc w:val="center"/>
        <w:spacing w:before="0" w:after="0" w:line="283" w:lineRule="exact"/>
        <w:rPr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Причиной конфликтов и споров между правообладателями смежных земельных участков зачастую становится отсутствие установленных границ.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Уточнение  местоположения границ земельного участка защитит права собственника, </w:t>
      </w:r>
      <w:r>
        <w:rPr>
          <w:sz w:val="26"/>
          <w:szCs w:val="26"/>
        </w:rPr>
        <w:t xml:space="preserve">поможет исправить возможные ошибки,</w:t>
      </w:r>
      <w:r>
        <w:rPr>
          <w:sz w:val="26"/>
          <w:szCs w:val="26"/>
        </w:rPr>
        <w:t xml:space="preserve"> а также минимизирует возникновение дополнительных рисков.</w:t>
      </w: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6"/>
          <w:szCs w:val="26"/>
        </w:rPr>
        <w:t xml:space="preserve">Если Ваш земельный участок не имеет границ, обращаться следует к кадастровому инженеру. Он производит замеры, определяет координаты границ земельного участка, проводит согласование местоположения уточняемых границ земельного участка и смежных с ним земельн</w:t>
      </w:r>
      <w:r>
        <w:rPr>
          <w:sz w:val="26"/>
          <w:szCs w:val="26"/>
        </w:rPr>
        <w:t xml:space="preserve">ых участков с собственниками и пользователями указанных объектов недвижимости, готовит межевой план.</w:t>
      </w:r>
      <w:r>
        <w:rPr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0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18</cp:revision>
  <dcterms:created xsi:type="dcterms:W3CDTF">2024-07-05T06:34:00Z</dcterms:created>
  <dcterms:modified xsi:type="dcterms:W3CDTF">2026-02-12T13:20:32Z</dcterms:modified>
</cp:coreProperties>
</file>