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Защита покупателей жилья от мошенников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pStyle w:val="1_727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Покупка квартиры — важное событие</w:t>
      </w:r>
      <w:r>
        <w:rPr>
          <w:sz w:val="26"/>
          <w:szCs w:val="26"/>
        </w:rPr>
        <w:t xml:space="preserve"> в жизни. Высокая стоимость и сложность юридических процедур делают этот процесс привлекательным для мошенников. Сегодня они не только подделывают документы, но и активно используют различные методы, заставляя продавцов действовать против своих интересов.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Что следует сделать покупателю: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Не спешить: срочность продажи и большая скидка — классические приемы мошенников, цель которых — лишить времени на оценку ситуации и проверки.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Провер</w:t>
      </w:r>
      <w:r>
        <w:rPr>
          <w:sz w:val="26"/>
          <w:szCs w:val="26"/>
        </w:rPr>
        <w:t xml:space="preserve">ить</w:t>
      </w:r>
      <w:r>
        <w:rPr>
          <w:sz w:val="26"/>
          <w:szCs w:val="26"/>
        </w:rPr>
        <w:t xml:space="preserve"> историю квартиры (сколько раз продавалась за последние го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ы)</w:t>
      </w:r>
      <w:r>
        <w:rPr>
          <w:sz w:val="26"/>
          <w:szCs w:val="26"/>
        </w:rPr>
        <w:t xml:space="preserve">, заказав выписку из ЕГРН о переходе прав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Запросит</w:t>
      </w:r>
      <w:r>
        <w:rPr>
          <w:sz w:val="26"/>
          <w:szCs w:val="26"/>
        </w:rPr>
        <w:t xml:space="preserve">ь</w:t>
      </w:r>
      <w:r>
        <w:rPr>
          <w:sz w:val="26"/>
          <w:szCs w:val="26"/>
        </w:rPr>
        <w:t xml:space="preserve"> у продавца выписку из ЕГРН (заказать можно онлайн на сайте </w:t>
      </w:r>
      <w:r>
        <w:rPr>
          <w:sz w:val="26"/>
          <w:szCs w:val="26"/>
        </w:rPr>
        <w:t xml:space="preserve">Росреестра</w:t>
      </w:r>
      <w:r>
        <w:rPr>
          <w:sz w:val="26"/>
          <w:szCs w:val="26"/>
        </w:rPr>
        <w:t xml:space="preserve">), в том числе чтобы убедиться кто является собственником, </w:t>
      </w:r>
      <w:r>
        <w:rPr>
          <w:sz w:val="26"/>
          <w:szCs w:val="26"/>
        </w:rPr>
        <w:t xml:space="preserve">нет</w:t>
      </w:r>
      <w:r>
        <w:rPr>
          <w:sz w:val="26"/>
          <w:szCs w:val="26"/>
        </w:rPr>
        <w:t xml:space="preserve"> ли арестов</w:t>
      </w:r>
      <w:r>
        <w:rPr>
          <w:sz w:val="26"/>
          <w:szCs w:val="26"/>
        </w:rPr>
        <w:t xml:space="preserve">, запретов на совершение регистрационных действий</w:t>
      </w:r>
      <w:r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иных ограничений (</w:t>
      </w:r>
      <w:r>
        <w:rPr>
          <w:sz w:val="26"/>
          <w:szCs w:val="26"/>
        </w:rPr>
        <w:t xml:space="preserve">обременений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Кроме того, любой гражданин бесплатно может </w:t>
      </w:r>
      <w:r>
        <w:rPr>
          <w:sz w:val="26"/>
          <w:szCs w:val="26"/>
        </w:rPr>
        <w:t xml:space="preserve">получить справочную информацию из</w:t>
      </w:r>
      <w:r>
        <w:rPr>
          <w:sz w:val="26"/>
          <w:szCs w:val="26"/>
        </w:rPr>
        <w:t xml:space="preserve"> ЕГРН об объектах недвижимости с помощью сервиса «Справочная информация по объектам недвижимости в режиме online», размещенном на официальном сайте Росреестра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ично встрет</w:t>
      </w:r>
      <w:r>
        <w:rPr>
          <w:sz w:val="26"/>
          <w:szCs w:val="26"/>
        </w:rPr>
        <w:t xml:space="preserve">иться</w:t>
      </w:r>
      <w:r>
        <w:rPr>
          <w:sz w:val="26"/>
          <w:szCs w:val="26"/>
        </w:rPr>
        <w:t xml:space="preserve"> с продавцом. </w:t>
      </w:r>
      <w:r>
        <w:rPr>
          <w:sz w:val="26"/>
          <w:szCs w:val="26"/>
        </w:rPr>
        <w:t xml:space="preserve">Важно выяснить, является ли продаваемая квартира </w:t>
      </w:r>
      <w:r>
        <w:rPr>
          <w:rStyle w:val="887"/>
          <w:rFonts w:eastAsia="Arial"/>
          <w:b w:val="0"/>
          <w:sz w:val="26"/>
          <w:szCs w:val="26"/>
        </w:rPr>
        <w:t xml:space="preserve">единственным жильем продавца</w:t>
      </w:r>
      <w:r>
        <w:rPr>
          <w:b/>
          <w:sz w:val="26"/>
          <w:szCs w:val="26"/>
        </w:rPr>
        <w:t xml:space="preserve">.</w:t>
      </w:r>
      <w:r>
        <w:rPr>
          <w:sz w:val="26"/>
          <w:szCs w:val="26"/>
        </w:rPr>
        <w:t xml:space="preserve"> Судебная практика последнего </w:t>
      </w:r>
      <w:r>
        <w:rPr>
          <w:sz w:val="26"/>
          <w:szCs w:val="26"/>
        </w:rPr>
        <w:t xml:space="preserve">времени </w:t>
      </w:r>
      <w:r>
        <w:rPr>
          <w:sz w:val="26"/>
          <w:szCs w:val="26"/>
        </w:rPr>
        <w:t xml:space="preserve">показывает, что если продавец действовал под влиянием мошенников и ему больше негде жить, суд </w:t>
      </w:r>
      <w:r>
        <w:rPr>
          <w:sz w:val="26"/>
          <w:szCs w:val="26"/>
        </w:rPr>
        <w:t xml:space="preserve">может</w:t>
      </w:r>
      <w:r>
        <w:rPr>
          <w:sz w:val="26"/>
          <w:szCs w:val="26"/>
        </w:rPr>
        <w:t xml:space="preserve"> вста</w:t>
      </w:r>
      <w:r>
        <w:rPr>
          <w:sz w:val="26"/>
          <w:szCs w:val="26"/>
        </w:rPr>
        <w:t xml:space="preserve">ть</w:t>
      </w:r>
      <w:r>
        <w:rPr>
          <w:sz w:val="26"/>
          <w:szCs w:val="26"/>
        </w:rPr>
        <w:t xml:space="preserve"> на его сторону.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sz w:val="26"/>
          <w:szCs w:val="26"/>
        </w:rPr>
        <w:t xml:space="preserve">Проверить действительность паспорта </w:t>
      </w:r>
      <w:r>
        <w:rPr>
          <w:sz w:val="26"/>
          <w:szCs w:val="26"/>
        </w:rPr>
        <w:t xml:space="preserve">продавца </w:t>
      </w:r>
      <w:r>
        <w:rPr>
          <w:b/>
          <w:color w:val="000000" w:themeColor="text1"/>
          <w:sz w:val="26"/>
          <w:szCs w:val="26"/>
        </w:rPr>
        <w:t xml:space="preserve">(</w:t>
      </w:r>
      <w:r>
        <w:rPr>
          <w:rStyle w:val="887"/>
          <w:rFonts w:eastAsia="Arial"/>
          <w:b w:val="0"/>
          <w:color w:val="000000" w:themeColor="text1"/>
          <w:sz w:val="26"/>
          <w:szCs w:val="26"/>
          <w:shd w:val="clear" w:color="auto" w:fill="ffffff"/>
        </w:rPr>
        <w:t xml:space="preserve">онлайн-сервис на портале «</w:t>
      </w:r>
      <w:r>
        <w:rPr>
          <w:rStyle w:val="887"/>
          <w:rFonts w:eastAsia="Arial"/>
          <w:b w:val="0"/>
          <w:color w:val="000000" w:themeColor="text1"/>
          <w:sz w:val="26"/>
          <w:szCs w:val="26"/>
          <w:shd w:val="clear" w:color="auto" w:fill="ffffff"/>
        </w:rPr>
        <w:t xml:space="preserve">Госуслуги</w:t>
      </w:r>
      <w:r>
        <w:rPr>
          <w:rStyle w:val="887"/>
          <w:rFonts w:eastAsia="Arial"/>
          <w:b w:val="0"/>
          <w:color w:val="000000" w:themeColor="text1"/>
          <w:sz w:val="26"/>
          <w:szCs w:val="26"/>
          <w:shd w:val="clear" w:color="auto" w:fill="ffffff"/>
        </w:rPr>
        <w:t xml:space="preserve">»).</w:t>
      </w:r>
      <w:r>
        <w:rPr>
          <w:rStyle w:val="887"/>
          <w:b w:val="0"/>
          <w:bCs w:val="0"/>
          <w:color w:val="000000" w:themeColor="text1"/>
          <w:sz w:val="26"/>
          <w:szCs w:val="26"/>
        </w:rPr>
      </w:r>
      <w:r>
        <w:rPr>
          <w:rStyle w:val="887"/>
          <w:b w:val="0"/>
          <w:bCs w:val="0"/>
          <w:color w:val="000000" w:themeColor="text1"/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Проверить продавца на наличие долгов через сайт</w:t>
      </w:r>
      <w:r>
        <w:rPr>
          <w:sz w:val="26"/>
          <w:szCs w:val="26"/>
        </w:rPr>
        <w:t xml:space="preserve"> Федеральной службы судебных приставов (ФССП) и на предмет банкротства через Единый</w:t>
      </w:r>
      <w:r>
        <w:rPr>
          <w:sz w:val="26"/>
          <w:szCs w:val="26"/>
        </w:rPr>
        <w:t xml:space="preserve"> федеральный реестр сведений о банкротстве (ЕФРСБ)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rStyle w:val="887"/>
          <w:rFonts w:eastAsia="Arial"/>
          <w:b w:val="0"/>
          <w:sz w:val="26"/>
          <w:szCs w:val="26"/>
        </w:rPr>
        <w:t xml:space="preserve">Дееспособность:</w:t>
      </w:r>
      <w:r>
        <w:rPr>
          <w:sz w:val="26"/>
          <w:szCs w:val="26"/>
        </w:rPr>
        <w:t xml:space="preserve"> при наличии сомнений (например, в случае, если продавцом является пожилой человек) покупатель вправе настаивать на нотариальной форме сделки. Нотариус обязан проверить дееспособность </w:t>
      </w:r>
      <w:r>
        <w:rPr>
          <w:sz w:val="26"/>
          <w:szCs w:val="26"/>
        </w:rPr>
        <w:t xml:space="preserve">сторон</w:t>
      </w:r>
      <w:r>
        <w:rPr>
          <w:sz w:val="26"/>
          <w:szCs w:val="26"/>
        </w:rPr>
        <w:t xml:space="preserve"> и может проводить </w:t>
      </w:r>
      <w:r>
        <w:rPr>
          <w:sz w:val="26"/>
          <w:szCs w:val="26"/>
        </w:rPr>
        <w:t xml:space="preserve">видеофиксацию</w:t>
      </w:r>
      <w:r>
        <w:rPr>
          <w:sz w:val="26"/>
          <w:szCs w:val="26"/>
        </w:rPr>
        <w:t xml:space="preserve"> процесса, что в будущем </w:t>
      </w:r>
      <w:r>
        <w:rPr>
          <w:sz w:val="26"/>
          <w:szCs w:val="26"/>
        </w:rPr>
        <w:t xml:space="preserve">поможет </w:t>
      </w:r>
      <w:r>
        <w:rPr>
          <w:sz w:val="26"/>
          <w:szCs w:val="26"/>
        </w:rPr>
        <w:t xml:space="preserve">защитит</w:t>
      </w:r>
      <w:r>
        <w:rPr>
          <w:sz w:val="26"/>
          <w:szCs w:val="26"/>
        </w:rPr>
        <w:t xml:space="preserve">ь</w:t>
      </w:r>
      <w:r>
        <w:rPr>
          <w:sz w:val="26"/>
          <w:szCs w:val="26"/>
        </w:rPr>
        <w:t xml:space="preserve"> сделку от оспаривания.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Убедиться в отсутствии лиц, сохраняющих право проживания в квартире и наличии необходимых на продажу квартиры согласий.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Использ</w:t>
      </w:r>
      <w:r>
        <w:rPr>
          <w:sz w:val="26"/>
          <w:szCs w:val="26"/>
        </w:rPr>
        <w:t xml:space="preserve">овать более безопасные способы расчетов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банковскую ячейку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аккредитив</w:t>
      </w:r>
      <w:r>
        <w:rPr>
          <w:sz w:val="26"/>
          <w:szCs w:val="26"/>
        </w:rPr>
        <w:t xml:space="preserve">, сервис безопасных расчетов)</w:t>
      </w:r>
      <w:r>
        <w:rPr>
          <w:sz w:val="26"/>
          <w:szCs w:val="26"/>
        </w:rPr>
        <w:t xml:space="preserve">, а не прямую передачу наличных.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27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Оформить страхование титула (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защищает собственника недвижимого имущества от признания сделки по приобретению недвижимости недействительной или требований бывшего собственника о возврате имущества, выбывшего у него помимо его воли)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1_7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Лучшая защита покупателя — тщательная проверка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0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244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27" w:customStyle="1">
    <w:name w:val="ds-markdown-paragraph"/>
    <w:basedOn w:val="71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2024-07-05T06:34:00Z</dcterms:created>
  <dcterms:modified xsi:type="dcterms:W3CDTF">2026-02-20T07:38:03Z</dcterms:modified>
</cp:coreProperties>
</file>