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contextualSpacing w:val="0"/>
        <w:ind w:firstLine="567"/>
        <w:jc w:val="center"/>
        <w:spacing w:before="0" w:after="0" w:line="85" w:lineRule="atLeast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Как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оформ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ть землю 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под многокв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ртирным домом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?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pStyle w:val="940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Жилищн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ом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Российской Федерации установлено, что собственникам помещений в многоквартирном доме принадлежит на праве общей долевой собственности общее имущество в многоквартирном доме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(далее – МКД)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в том числе земельный участок, на котором расположен данный дом.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Если земельный участок под МКД и другими объектами недвижимости, относящимися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 нему, сформирован и поставлен на кадастровый учёт – он уже юридически принадлежит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собственникам помещений в МКД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С момента государственного кадастрового учета земельного участка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МКД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такой участок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переходит бесплатно в общую долевую собственность собственников по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мещений 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МКД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если 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МКД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не образован, любой собственник помещения 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таком доме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вправе обратиться в органы государственной власти или органы местного самоуправления ( в Республике Карелия – в орган местного самоуправления) с заявлением о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образовании.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Образование земельного участка, на котором расположены МКД, является обязанностью органов госуда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рственной власти или органов местного самоуправления. Уполномоченными органами государственной власти или органов местного самоуправления совершаются все необходимые действия, предусмотренные законом, в том числе обеспечиваются утверждение проекта межевани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я территории или схемы расположения земельного участка на кадастровом плане территории, подготовка межевого плана земельного участка, обращение с заявлением о государственном кадастровом учете в отношении такого земельного участка в орган регистрации прав.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Доля в праве общей собственности на общее имущество 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МКД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каждого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собственника помещения в этом доме следует судьбе права собственности на указанное помещение, а значит, что при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приобретении в собственность помещения 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МКД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к приобретателю переходит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также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 доля в праве общей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собственности на общее имущество в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таком доме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lang w:eastAsia="ru-RU"/>
        </w:rPr>
        <w:t xml:space="preserve">При этом такая доля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пропорциональна размеру общей площади указанного помещения.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1_724"/>
        <w:ind w:firstLine="567"/>
        <w:jc w:val="both"/>
        <w:spacing w:before="0" w:beforeAutospacing="0" w:after="0" w:afterAutospacing="0"/>
        <w:shd w:val="clear" w:color="auto" w:fill="ffffff"/>
        <w:rPr>
          <w:i/>
          <w:sz w:val="28"/>
          <w:szCs w:val="28"/>
        </w:rPr>
      </w:pPr>
      <w:r>
        <w:rPr>
          <w:sz w:val="28"/>
          <w:szCs w:val="28"/>
        </w:rPr>
        <w:t xml:space="preserve">Таким образом, право общей долевой собственности на общее имущество в </w:t>
      </w:r>
      <w:r>
        <w:rPr>
          <w:sz w:val="28"/>
          <w:szCs w:val="28"/>
        </w:rPr>
        <w:t xml:space="preserve">МКД</w:t>
      </w:r>
      <w:r>
        <w:rPr>
          <w:sz w:val="28"/>
          <w:szCs w:val="28"/>
        </w:rPr>
        <w:t xml:space="preserve">, в том числе</w:t>
      </w:r>
      <w:r>
        <w:rPr>
          <w:sz w:val="28"/>
          <w:szCs w:val="28"/>
        </w:rPr>
        <w:t xml:space="preserve"> и земельный участок, на котором расположен такой дом, у собственников помещений </w:t>
      </w:r>
      <w:r>
        <w:rPr>
          <w:sz w:val="28"/>
          <w:szCs w:val="28"/>
        </w:rPr>
        <w:t xml:space="preserve">МКД</w:t>
      </w:r>
      <w:r>
        <w:rPr>
          <w:sz w:val="28"/>
          <w:szCs w:val="28"/>
        </w:rPr>
        <w:t xml:space="preserve"> возникает в силу закона, независимо от факта государственной регистрации права общей долевой собственности на такое имущество</w:t>
      </w:r>
      <w:r>
        <w:rPr>
          <w:sz w:val="28"/>
          <w:szCs w:val="28"/>
        </w:rPr>
        <w:t xml:space="preserve"> и не требу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какого-либо дополнительного подтверждения.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69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63"/>
    <w:next w:val="86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6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63"/>
    <w:next w:val="86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6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63"/>
    <w:next w:val="86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6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63"/>
    <w:next w:val="86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6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69"/>
    <w:link w:val="925"/>
    <w:uiPriority w:val="10"/>
    <w:rPr>
      <w:sz w:val="48"/>
      <w:szCs w:val="48"/>
    </w:rPr>
  </w:style>
  <w:style w:type="character" w:styleId="721">
    <w:name w:val="Subtitle Char"/>
    <w:basedOn w:val="869"/>
    <w:link w:val="921"/>
    <w:uiPriority w:val="11"/>
    <w:rPr>
      <w:sz w:val="24"/>
      <w:szCs w:val="24"/>
    </w:rPr>
  </w:style>
  <w:style w:type="paragraph" w:styleId="722">
    <w:name w:val="Quote"/>
    <w:basedOn w:val="863"/>
    <w:next w:val="86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63"/>
    <w:next w:val="86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69"/>
    <w:link w:val="906"/>
    <w:uiPriority w:val="99"/>
  </w:style>
  <w:style w:type="character" w:styleId="727">
    <w:name w:val="Footer Char"/>
    <w:basedOn w:val="869"/>
    <w:link w:val="931"/>
    <w:uiPriority w:val="99"/>
  </w:style>
  <w:style w:type="paragraph" w:styleId="72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931"/>
    <w:uiPriority w:val="99"/>
  </w:style>
  <w:style w:type="table" w:styleId="730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paragraph" w:styleId="858">
    <w:name w:val="endnote text"/>
    <w:basedOn w:val="86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69"/>
    <w:uiPriority w:val="99"/>
    <w:semiHidden/>
    <w:unhideWhenUsed/>
    <w:rPr>
      <w:vertAlign w:val="superscript"/>
    </w:r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link w:val="872"/>
    <w:qFormat/>
    <w:rPr>
      <w:rFonts w:ascii="Times New Roman" w:hAnsi="Times New Roman"/>
      <w:sz w:val="24"/>
    </w:rPr>
  </w:style>
  <w:style w:type="paragraph" w:styleId="864">
    <w:name w:val="Heading 1"/>
    <w:basedOn w:val="863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>
    <w:name w:val="Heading 2"/>
    <w:next w:val="863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>
    <w:name w:val="Heading 3"/>
    <w:next w:val="863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67">
    <w:name w:val="Heading 4"/>
    <w:next w:val="863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>
    <w:name w:val="Heading 5"/>
    <w:next w:val="863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863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863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863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863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863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869"/>
    <w:link w:val="884"/>
    <w:rPr>
      <w:b/>
    </w:rPr>
  </w:style>
  <w:style w:type="paragraph" w:styleId="886">
    <w:name w:val="Balloon Text"/>
    <w:basedOn w:val="863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863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869"/>
    <w:link w:val="892"/>
    <w:rPr>
      <w:color w:val="800080"/>
      <w:u w:val="single"/>
    </w:rPr>
  </w:style>
  <w:style w:type="character" w:styleId="894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4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863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863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>
    <w:name w:val="Header"/>
    <w:basedOn w:val="863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863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863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863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863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863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863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863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863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863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869"/>
    <w:link w:val="929"/>
    <w:rPr>
      <w:vertAlign w:val="superscript"/>
    </w:rPr>
  </w:style>
  <w:style w:type="paragraph" w:styleId="931">
    <w:name w:val="Footer"/>
    <w:basedOn w:val="863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869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869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863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869"/>
    <w:uiPriority w:val="20"/>
    <w:qFormat/>
    <w:rPr>
      <w:i/>
      <w:iCs/>
    </w:rPr>
  </w:style>
  <w:style w:type="paragraph" w:styleId="93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24" w:customStyle="1">
    <w:name w:val="pboth"/>
    <w:basedOn w:val="85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17</cp:revision>
  <dcterms:created xsi:type="dcterms:W3CDTF">2024-07-05T06:34:00Z</dcterms:created>
  <dcterms:modified xsi:type="dcterms:W3CDTF">2026-02-20T07:48:44Z</dcterms:modified>
</cp:coreProperties>
</file>