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0" w:left="0"/>
        <w:jc w:val="both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770"/>
        <w:widowControl w:val="true"/>
        <w:pBdr/>
        <w:spacing w:after="240" w:before="0" w:line="300" w:lineRule="auto"/>
        <w:ind w:right="0" w:firstLine="284" w:left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Единый государственный реестр недвижимости  пополняется сведениями о территориальных зонах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ascii="Segoe UI" w:hAnsi="Segoe UI" w:eastAsia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  <w:shd w:val="clear" w:color="auto" w:fill="auto"/>
        </w:rPr>
        <w:t xml:space="preserve">Территориальная зона </w:t>
      </w:r>
      <w:r>
        <w:rPr>
          <w:rFonts w:ascii="Segoe UI" w:hAnsi="Segoe UI" w:eastAsia="Segoe UI" w:cs="Segoe UI"/>
          <w:caps w:val="0"/>
          <w:smallCaps w:val="0"/>
          <w:color w:val="000000"/>
          <w:spacing w:val="0"/>
          <w:sz w:val="24"/>
          <w:szCs w:val="24"/>
          <w:shd w:val="clear" w:color="auto" w:fill="auto"/>
        </w:rPr>
        <w:t xml:space="preserve">– </w:t>
      </w:r>
      <w:r>
        <w:rPr>
          <w:rFonts w:ascii="Segoe UI" w:hAnsi="Segoe UI" w:eastAsia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  <w:shd w:val="clear" w:color="auto" w:fill="auto"/>
        </w:rPr>
        <w:t xml:space="preserve">это</w:t>
      </w:r>
      <w:r>
        <w:rPr>
          <w:rFonts w:ascii="Segoe UI" w:hAnsi="Segoe UI" w:eastAsia="Segoe UI" w:cs="Segoe UI"/>
          <w:caps w:val="0"/>
          <w:smallCaps w:val="0"/>
          <w:color w:val="000000"/>
          <w:spacing w:val="0"/>
          <w:sz w:val="24"/>
          <w:szCs w:val="24"/>
          <w:shd w:val="clear" w:color="auto" w:fill="auto"/>
        </w:rPr>
        <w:t xml:space="preserve"> часть территории муниципального образования, границы которой утверждены правилами землепользования и застройки.</w:t>
      </w:r>
      <w:r>
        <w:rPr>
          <w:rFonts w:ascii="Segoe UI" w:hAnsi="Segoe UI" w:eastAsia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  <w:shd w:val="clear" w:color="auto" w:fill="auto"/>
        </w:rPr>
        <w:t xml:space="preserve"> Для территориальных з</w:t>
      </w:r>
      <w:r>
        <w:rPr>
          <w:rFonts w:ascii="Segoe UI" w:hAnsi="Segoe UI" w:eastAsia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  <w:shd w:val="clear" w:color="auto" w:fill="auto"/>
        </w:rPr>
        <w:t xml:space="preserve">он разрабатываются градостроительные регламенты, которые устанавливают виды разрешенного использования земельных участков и объектов капитального строительства, предельные размеры земельных участков, параметры разрешённого строительства и другие параметры.</w:t>
      </w:r>
      <w:r>
        <w:rPr>
          <w:rFonts w:ascii="Segoe UI" w:hAnsi="Segoe UI" w:cs="Segoe UI"/>
          <w:color w:val="000000"/>
          <w:sz w:val="24"/>
          <w:szCs w:val="24"/>
          <w:highlight w:val="none"/>
          <w:shd w:val="clear" w:color="auto" w:fill="auto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eastAsia="Segoe UI" w:cs="Segoe UI"/>
          <w:color w:val="000000"/>
          <w:sz w:val="24"/>
          <w:szCs w:val="24"/>
        </w:rPr>
        <w:t xml:space="preserve">В соответствии с правилами землепользования и застройки общее  количество территориальных зон в Республике Карелия  составляет 1</w:t>
      </w:r>
      <w:r>
        <w:rPr>
          <w:rFonts w:ascii="Segoe UI" w:hAnsi="Segoe UI" w:eastAsia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eastAsia="Segoe UI" w:cs="Segoe UI"/>
          <w:color w:val="000000"/>
          <w:sz w:val="24"/>
          <w:szCs w:val="24"/>
        </w:rPr>
        <w:t xml:space="preserve">234.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right="0" w:firstLine="567" w:left="0"/>
        <w:jc w:val="both"/>
        <w:outlineLvl w:val="0"/>
        <w:rPr>
          <w:rFonts w:ascii="Segoe UI" w:hAnsi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</w:rPr>
      </w:pPr>
      <w:r>
        <w:rPr>
          <w:rFonts w:ascii="Segoe UI" w:hAnsi="Segoe UI" w:eastAsia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Согласно действующему законодательству, сведения о границах территориальных зон подлежат внесению в Единый государственный реестр недвижимости (ЕГРН).</w:t>
      </w:r>
      <w:r>
        <w:rPr>
          <w:rFonts w:ascii="Segoe UI" w:hAnsi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eastAsia="Segoe UI" w:cs="Segoe UI"/>
          <w:color w:val="000000"/>
          <w:sz w:val="24"/>
          <w:szCs w:val="24"/>
        </w:rPr>
        <w:t xml:space="preserve">На 1 февраля 2026 года в ЕГРН внесены сведения о границах 855 территориальных зон. Наибольшее количество территориальных зон внесено в Прионежском и Кондопожском муниципальных районах.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b w:val="0"/>
          <w:i w:val="0"/>
          <w:caps w:val="0"/>
          <w:smallCaps w:val="0"/>
          <w:spacing w:val="0"/>
          <w:sz w:val="24"/>
          <w:szCs w:val="24"/>
          <w:lang w:val="ru-RU" w:eastAsia="zh-CN" w:bidi="ar-SA"/>
        </w:rPr>
        <w:t xml:space="preserve">Внесение  сведений о границах территориальных зон осуществляется на основании документов и сведений, предоставленных органами государственной власти или органами местн</w:t>
      </w:r>
      <w:r>
        <w:rPr>
          <w:rFonts w:ascii="Segoe UI" w:hAnsi="Segoe UI" w:eastAsia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  <w:lang w:val="ru-RU" w:eastAsia="zh-CN" w:bidi="ar-SA"/>
        </w:rPr>
        <w:t xml:space="preserve">ого самоуправления, в течение 15 рабочих дней с даты поступления таких документов.</w:t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eastAsia="Segoe UI" w:cs="Segoe UI"/>
          <w:color w:val="000000"/>
          <w:sz w:val="24"/>
          <w:szCs w:val="24"/>
          <w:lang w:val="ru-RU" w:eastAsia="zh-CN" w:bidi="ar-SA"/>
        </w:rPr>
        <w:t xml:space="preserve">«</w:t>
      </w:r>
      <w:r>
        <w:rPr>
          <w:rFonts w:ascii="Segoe UI" w:hAnsi="Segoe UI" w:eastAsia="Segoe UI" w:cs="Segoe UI"/>
          <w:i/>
          <w:iCs/>
          <w:color w:val="000000"/>
          <w:sz w:val="24"/>
          <w:szCs w:val="24"/>
          <w:lang w:val="ru-RU" w:eastAsia="zh-CN" w:bidi="ar-SA"/>
        </w:rPr>
        <w:t xml:space="preserve">Работа по нап</w:t>
      </w:r>
      <w:r>
        <w:rPr>
          <w:rFonts w:ascii="Segoe UI" w:hAnsi="Segoe UI" w:eastAsia="Segoe UI" w:cs="Segoe UI"/>
          <w:i/>
          <w:iCs/>
          <w:color w:val="000000"/>
          <w:sz w:val="24"/>
          <w:szCs w:val="24"/>
          <w:lang w:val="ru-RU" w:eastAsia="zh-CN" w:bidi="ar-SA"/>
        </w:rPr>
        <w:t xml:space="preserve">олнению ЕГРН сведениями о границах территориальных зон продолжается. Органами местного самоуправления Республики Карелия активно направляются сведения о территориальных зонах, так, в 2025 году в ЕГРН были внесены сведения о границах 282 территориальных зон</w:t>
      </w:r>
      <w:r>
        <w:rPr>
          <w:rFonts w:ascii="Segoe UI" w:hAnsi="Segoe UI" w:eastAsia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  <w:lang w:val="ru-RU" w:eastAsia="zh-CN" w:bidi="ar-SA"/>
        </w:rPr>
        <w:t xml:space="preserve">», - отмечает заместитель директора филиала ППК «Роскадастр» по Республике Карелия </w:t>
      </w:r>
      <w:r>
        <w:rPr>
          <w:rFonts w:ascii="Segoe UI" w:hAnsi="Segoe UI" w:eastAsia="Segoe UI" w:cs="Segoe UI"/>
          <w:b/>
          <w:bCs/>
          <w:i w:val="0"/>
          <w:caps w:val="0"/>
          <w:smallCaps w:val="0"/>
          <w:color w:val="000000"/>
          <w:spacing w:val="0"/>
          <w:sz w:val="24"/>
          <w:szCs w:val="24"/>
          <w:lang w:val="ru-RU" w:eastAsia="zh-CN" w:bidi="ar-SA"/>
        </w:rPr>
        <w:t xml:space="preserve">Роман Тренин</w:t>
      </w:r>
      <w:r>
        <w:rPr>
          <w:rFonts w:ascii="Segoe UI" w:hAnsi="Segoe UI" w:eastAsia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  <w:lang w:val="ru-RU" w:eastAsia="zh-CN" w:bidi="ar-SA"/>
        </w:rPr>
        <w:t xml:space="preserve">.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eastAsia="Segoe UI" w:cs="Segoe UI"/>
          <w:color w:val="000000"/>
          <w:sz w:val="24"/>
          <w:szCs w:val="24"/>
          <w:lang w:val="ru-RU" w:eastAsia="zh-CN" w:bidi="ar-SA"/>
        </w:rPr>
        <w:t xml:space="preserve">Наличие информации о территориальных зонах </w:t>
      </w:r>
      <w:r>
        <w:rPr>
          <w:rFonts w:ascii="Segoe UI" w:hAnsi="Segoe UI" w:eastAsia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  <w:lang w:val="ru-RU" w:eastAsia="zh-CN" w:bidi="ar-SA"/>
        </w:rPr>
        <w:t xml:space="preserve">упрощает процедуру государственного кадастрового учета земельных участков и регистрации прав, а так</w:t>
      </w:r>
      <w:r>
        <w:rPr>
          <w:rFonts w:ascii="Segoe UI" w:hAnsi="Segoe UI" w:eastAsia="Segoe UI" w:cs="Segoe UI"/>
          <w:b w:val="0"/>
          <w:i w:val="0"/>
          <w:caps w:val="0"/>
          <w:smallCaps w:val="0"/>
          <w:color w:val="000000"/>
          <w:spacing w:val="0"/>
          <w:sz w:val="24"/>
          <w:szCs w:val="24"/>
          <w:lang w:val="ru-RU" w:eastAsia="zh-CN" w:bidi="ar-SA"/>
        </w:rPr>
        <w:t xml:space="preserve">же ускоряет решение вопросов по установлению и изменению разрешенного использования земельных участков. 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right="0" w:firstLine="567" w:left="0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b w:val="0"/>
          <w:i w:val="0"/>
          <w:strike w:val="0"/>
          <w:color w:val="000000"/>
          <w:sz w:val="24"/>
          <w:szCs w:val="24"/>
          <w:u w:val="none"/>
        </w:rPr>
        <w:t xml:space="preserve">Сведения о границах территориальных зон являются общедоступными и отображаются  на публичной кадастровой карте, размещенной на официальном сайте Росреестра (rosreestr.gov.ru)</w:t>
      </w:r>
      <w:r>
        <w:rPr>
          <w:rFonts w:ascii="Segoe UI" w:hAnsi="Segoe UI" w:eastAsia="Segoe UI" w:cs="Segoe UI"/>
          <w:b w:val="0"/>
          <w:i w:val="0"/>
          <w:strike w:val="0"/>
          <w:color w:val="000000"/>
          <w:sz w:val="24"/>
          <w:szCs w:val="24"/>
          <w:u w:val="none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color w:val="000000"/>
          <w:highlight w:val="none"/>
        </w:rPr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color w:val="000000"/>
          <w:highlight w:val="none"/>
        </w:rPr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color w:val="000000"/>
          <w:highlight w:val="none"/>
        </w:rPr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color w:val="000000"/>
          <w:highlight w:val="none"/>
        </w:rPr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Style w:val="699"/>
          <w:rFonts w:ascii="Segoe UI" w:hAnsi="Segoe UI" w:cs="Segoe UI"/>
          <w:color w:val="2a5885"/>
          <w:shd w:val="clear" w:color="auto" w:fill="ffffff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699"/>
          <w:rFonts w:ascii="Segoe UI" w:hAnsi="Segoe UI" w:cs="Segoe UI"/>
          <w:color w:val="2a5885"/>
          <w:shd w:val="clear" w:color="auto" w:fill="ffffff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 w:left="0"/>
        <w:jc w:val="right"/>
        <w:outlineLvl w:val="0"/>
        <w:rPr/>
      </w:pPr>
      <w:r>
        <w:rPr>
          <w:rStyle w:val="699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766"/>
        <w:pBdr>
          <w:bottom w:val="single" w:color="000000" w:sz="12" w:space="1"/>
        </w:pBdr>
        <w:spacing/>
        <w:ind w:firstLine="0"/>
        <w:jc w:val="both"/>
        <w:rPr/>
      </w:pPr>
      <w:r/>
      <w:r/>
    </w:p>
    <w:p>
      <w:pPr>
        <w:pStyle w:val="681"/>
        <w:pBdr/>
        <w:spacing w:line="360" w:lineRule="auto"/>
        <w:ind/>
        <w:jc w:val="both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outlineLvl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25pt;height:30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Mangal"/>
      <w:color w:val="auto"/>
      <w:sz w:val="24"/>
      <w:szCs w:val="24"/>
      <w:lang w:val="ru-RU" w:eastAsia="zh-CN" w:bidi="ar-SA"/>
    </w:rPr>
  </w:style>
  <w:style w:type="paragraph" w:styleId="682">
    <w:name w:val="Heading 1"/>
    <w:basedOn w:val="6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2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3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4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695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696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7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8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99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700">
    <w:name w:val="Символ сноски"/>
    <w:basedOn w:val="724"/>
    <w:uiPriority w:val="99"/>
    <w:unhideWhenUsed/>
    <w:qFormat/>
    <w:pPr>
      <w:pBdr/>
      <w:spacing/>
      <w:ind/>
    </w:pPr>
    <w:rPr>
      <w:vertAlign w:val="superscript"/>
    </w:rPr>
  </w:style>
  <w:style w:type="character" w:styleId="701">
    <w:name w:val="footnote reference"/>
    <w:pPr>
      <w:pBdr/>
      <w:spacing/>
      <w:ind/>
    </w:pPr>
    <w:rPr>
      <w:vertAlign w:val="superscript"/>
    </w:rPr>
  </w:style>
  <w:style w:type="character" w:styleId="702">
    <w:name w:val="Символ концевой сноски"/>
    <w:basedOn w:val="72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3">
    <w:name w:val="endnote reference"/>
    <w:pPr>
      <w:pBdr/>
      <w:spacing/>
      <w:ind/>
    </w:pPr>
    <w:rPr>
      <w:vertAlign w:val="superscript"/>
    </w:rPr>
  </w:style>
  <w:style w:type="character" w:styleId="704">
    <w:name w:val="Heading 1 Char"/>
    <w:basedOn w:val="724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724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06">
    <w:name w:val="Heading 3 Char"/>
    <w:basedOn w:val="724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724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72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24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24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24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24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Title Char"/>
    <w:basedOn w:val="724"/>
    <w:uiPriority w:val="10"/>
    <w:qFormat/>
    <w:pPr>
      <w:pBdr/>
      <w:spacing/>
      <w:ind/>
    </w:pPr>
    <w:rPr>
      <w:sz w:val="48"/>
      <w:szCs w:val="48"/>
    </w:rPr>
  </w:style>
  <w:style w:type="character" w:styleId="714">
    <w:name w:val="Subtitle Char"/>
    <w:basedOn w:val="724"/>
    <w:uiPriority w:val="11"/>
    <w:qFormat/>
    <w:pPr>
      <w:pBdr/>
      <w:spacing/>
      <w:ind/>
    </w:pPr>
    <w:rPr>
      <w:sz w:val="24"/>
      <w:szCs w:val="24"/>
    </w:rPr>
  </w:style>
  <w:style w:type="character" w:styleId="715">
    <w:name w:val="Quote Char"/>
    <w:uiPriority w:val="29"/>
    <w:qFormat/>
    <w:pPr>
      <w:pBdr/>
      <w:spacing/>
      <w:ind/>
    </w:pPr>
    <w:rPr>
      <w:i/>
    </w:rPr>
  </w:style>
  <w:style w:type="character" w:styleId="716">
    <w:name w:val="Intense Quote Char"/>
    <w:uiPriority w:val="30"/>
    <w:qFormat/>
    <w:pPr>
      <w:pBdr/>
      <w:spacing/>
      <w:ind/>
    </w:pPr>
    <w:rPr>
      <w:i/>
    </w:rPr>
  </w:style>
  <w:style w:type="character" w:styleId="717">
    <w:name w:val="Header Char"/>
    <w:basedOn w:val="724"/>
    <w:uiPriority w:val="99"/>
    <w:qFormat/>
    <w:pPr>
      <w:pBdr/>
      <w:spacing/>
      <w:ind/>
    </w:pPr>
  </w:style>
  <w:style w:type="character" w:styleId="718">
    <w:name w:val="Footer Char"/>
    <w:basedOn w:val="724"/>
    <w:uiPriority w:val="99"/>
    <w:qFormat/>
    <w:pPr>
      <w:pBdr/>
      <w:spacing/>
      <w:ind/>
    </w:pPr>
  </w:style>
  <w:style w:type="character" w:styleId="719">
    <w:name w:val="Caption Char"/>
    <w:uiPriority w:val="99"/>
    <w:qFormat/>
    <w:pPr>
      <w:pBdr/>
      <w:spacing/>
      <w:ind/>
    </w:pPr>
  </w:style>
  <w:style w:type="character" w:styleId="720">
    <w:name w:val="Footnote Text Char"/>
    <w:uiPriority w:val="99"/>
    <w:qFormat/>
    <w:pPr>
      <w:pBdr/>
      <w:spacing/>
      <w:ind/>
    </w:pPr>
    <w:rPr>
      <w:sz w:val="18"/>
    </w:rPr>
  </w:style>
  <w:style w:type="character" w:styleId="721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722">
    <w:name w:val="Endnote Text Char"/>
    <w:uiPriority w:val="99"/>
    <w:qFormat/>
    <w:pPr>
      <w:pBdr/>
      <w:spacing/>
      <w:ind/>
    </w:pPr>
    <w:rPr>
      <w:sz w:val="20"/>
    </w:rPr>
  </w:style>
  <w:style w:type="character" w:styleId="723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5" w:customStyle="1">
    <w:name w:val="WW8Num1z0"/>
    <w:qFormat/>
    <w:pPr>
      <w:pBdr/>
      <w:spacing/>
      <w:ind/>
    </w:pPr>
    <w:rPr>
      <w:rFonts w:ascii="Wingdings" w:hAnsi="Wingdings" w:cs="Wingdings"/>
      <w:sz w:val="23"/>
      <w:szCs w:val="23"/>
    </w:rPr>
  </w:style>
  <w:style w:type="character" w:styleId="726" w:customStyle="1">
    <w:name w:val="WW8Num2z0"/>
    <w:qFormat/>
    <w:pPr>
      <w:pBdr/>
      <w:spacing/>
      <w:ind/>
    </w:pPr>
    <w:rPr>
      <w:rFonts w:ascii="Wingdings" w:hAnsi="Wingdings" w:cs="Wingdings"/>
      <w:sz w:val="23"/>
      <w:szCs w:val="23"/>
    </w:rPr>
  </w:style>
  <w:style w:type="character" w:styleId="727" w:customStyle="1">
    <w:name w:val="WW8Num3z0"/>
    <w:qFormat/>
    <w:pPr>
      <w:pBdr/>
      <w:spacing/>
      <w:ind/>
    </w:pPr>
    <w:rPr>
      <w:rFonts w:ascii="Wingdings" w:hAnsi="Wingdings" w:cs="Wingdings"/>
    </w:rPr>
  </w:style>
  <w:style w:type="character" w:styleId="728" w:customStyle="1">
    <w:name w:val="WW8Num4z0"/>
    <w:qFormat/>
    <w:pPr>
      <w:pBdr/>
      <w:spacing/>
      <w:ind/>
    </w:pPr>
  </w:style>
  <w:style w:type="character" w:styleId="729" w:customStyle="1">
    <w:name w:val="Основной шрифт абзаца1"/>
    <w:qFormat/>
    <w:pPr>
      <w:pBdr/>
      <w:spacing/>
      <w:ind/>
    </w:pPr>
  </w:style>
  <w:style w:type="character" w:styleId="730" w:customStyle="1">
    <w:name w:val="Верхний колонтитул Знак"/>
    <w:basedOn w:val="729"/>
    <w:qFormat/>
    <w:pPr>
      <w:pBdr/>
      <w:spacing/>
      <w:ind/>
    </w:pPr>
  </w:style>
  <w:style w:type="character" w:styleId="731" w:customStyle="1">
    <w:name w:val="Нижний колонтитул Знак"/>
    <w:basedOn w:val="729"/>
    <w:qFormat/>
    <w:pPr>
      <w:pBdr/>
      <w:spacing/>
      <w:ind/>
    </w:pPr>
  </w:style>
  <w:style w:type="character" w:styleId="732" w:customStyle="1">
    <w:name w:val="Текст выноски Знак"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33" w:customStyle="1">
    <w:name w:val="Текст Знак"/>
    <w:qFormat/>
    <w:pPr>
      <w:pBdr/>
      <w:spacing/>
      <w:ind/>
    </w:pPr>
    <w:rPr>
      <w:rFonts w:ascii="Consolas" w:hAnsi="Consolas" w:cs="Consolas"/>
      <w:sz w:val="21"/>
      <w:szCs w:val="21"/>
    </w:rPr>
  </w:style>
  <w:style w:type="character" w:styleId="734">
    <w:name w:val="Выделение"/>
    <w:qFormat/>
    <w:pPr>
      <w:pBdr/>
      <w:spacing/>
      <w:ind/>
    </w:pPr>
    <w:rPr>
      <w:i/>
      <w:iCs/>
    </w:rPr>
  </w:style>
  <w:style w:type="character" w:styleId="735" w:customStyle="1">
    <w:name w:val="WW-Интернет-ссылка"/>
    <w:qFormat/>
    <w:pPr>
      <w:pBdr/>
      <w:spacing/>
      <w:ind/>
    </w:pPr>
    <w:rPr>
      <w:color w:val="0000ff"/>
      <w:u w:val="single"/>
    </w:rPr>
  </w:style>
  <w:style w:type="character" w:styleId="736">
    <w:name w:val="Line Number"/>
    <w:pPr>
      <w:pBdr/>
      <w:spacing/>
      <w:ind/>
    </w:pPr>
  </w:style>
  <w:style w:type="paragraph" w:styleId="737" w:customStyle="1">
    <w:name w:val="Заголовок"/>
    <w:basedOn w:val="681"/>
    <w:next w:val="738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38">
    <w:name w:val="Body Text"/>
    <w:basedOn w:val="681"/>
    <w:pPr>
      <w:pBdr/>
      <w:spacing w:after="140" w:before="0" w:line="276" w:lineRule="auto"/>
      <w:ind/>
    </w:pPr>
  </w:style>
  <w:style w:type="paragraph" w:styleId="739">
    <w:name w:val="List"/>
    <w:basedOn w:val="738"/>
    <w:pPr>
      <w:pBdr/>
      <w:spacing/>
      <w:ind/>
    </w:pPr>
    <w:rPr>
      <w:rFonts w:ascii="PT Astra Serif" w:hAnsi="PT Astra Serif" w:cs="Noto Sans Devanagari"/>
    </w:rPr>
  </w:style>
  <w:style w:type="paragraph" w:styleId="740">
    <w:name w:val="Caption"/>
    <w:basedOn w:val="681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</w:rPr>
  </w:style>
  <w:style w:type="paragraph" w:styleId="741">
    <w:name w:val="Указатель"/>
    <w:basedOn w:val="681"/>
    <w:qFormat/>
    <w:pPr>
      <w:suppressLineNumbers w:val="true"/>
      <w:pBdr/>
      <w:spacing/>
      <w:ind/>
    </w:pPr>
    <w:rPr>
      <w:rFonts w:cs="Mangal"/>
    </w:rPr>
  </w:style>
  <w:style w:type="paragraph" w:styleId="742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43">
    <w:name w:val="Title"/>
    <w:basedOn w:val="68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44">
    <w:name w:val="Subtitle"/>
    <w:basedOn w:val="681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45">
    <w:name w:val="Quote"/>
    <w:basedOn w:val="681"/>
    <w:uiPriority w:val="29"/>
    <w:qFormat/>
    <w:pPr>
      <w:pBdr/>
      <w:spacing/>
      <w:ind w:right="720" w:firstLine="0" w:left="720"/>
    </w:pPr>
    <w:rPr>
      <w:i/>
    </w:rPr>
  </w:style>
  <w:style w:type="paragraph" w:styleId="746">
    <w:name w:val="Intense Quote"/>
    <w:basedOn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747">
    <w:name w:val="footnote text"/>
    <w:basedOn w:val="681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48">
    <w:name w:val="endnote text"/>
    <w:basedOn w:val="681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49">
    <w:name w:val="toc 1"/>
    <w:basedOn w:val="681"/>
    <w:uiPriority w:val="39"/>
    <w:unhideWhenUsed/>
    <w:pPr>
      <w:pBdr/>
      <w:spacing w:after="57" w:before="0"/>
      <w:ind w:right="0" w:firstLine="0" w:left="0"/>
    </w:pPr>
  </w:style>
  <w:style w:type="paragraph" w:styleId="750">
    <w:name w:val="toc 2"/>
    <w:basedOn w:val="681"/>
    <w:uiPriority w:val="39"/>
    <w:unhideWhenUsed/>
    <w:pPr>
      <w:pBdr/>
      <w:spacing w:after="57" w:before="0"/>
      <w:ind w:right="0" w:firstLine="0" w:left="283"/>
    </w:pPr>
  </w:style>
  <w:style w:type="paragraph" w:styleId="751">
    <w:name w:val="toc 3"/>
    <w:basedOn w:val="681"/>
    <w:uiPriority w:val="39"/>
    <w:unhideWhenUsed/>
    <w:pPr>
      <w:pBdr/>
      <w:spacing w:after="57" w:before="0"/>
      <w:ind w:right="0" w:firstLine="0" w:left="567"/>
    </w:pPr>
  </w:style>
  <w:style w:type="paragraph" w:styleId="752">
    <w:name w:val="toc 4"/>
    <w:basedOn w:val="681"/>
    <w:uiPriority w:val="39"/>
    <w:unhideWhenUsed/>
    <w:pPr>
      <w:pBdr/>
      <w:spacing w:after="57" w:before="0"/>
      <w:ind w:right="0" w:firstLine="0" w:left="850"/>
    </w:pPr>
  </w:style>
  <w:style w:type="paragraph" w:styleId="753">
    <w:name w:val="toc 5"/>
    <w:basedOn w:val="681"/>
    <w:uiPriority w:val="39"/>
    <w:unhideWhenUsed/>
    <w:pPr>
      <w:pBdr/>
      <w:spacing w:after="57" w:before="0"/>
      <w:ind w:right="0" w:firstLine="0" w:left="1134"/>
    </w:pPr>
  </w:style>
  <w:style w:type="paragraph" w:styleId="754">
    <w:name w:val="toc 6"/>
    <w:basedOn w:val="681"/>
    <w:uiPriority w:val="39"/>
    <w:unhideWhenUsed/>
    <w:pPr>
      <w:pBdr/>
      <w:spacing w:after="57" w:before="0"/>
      <w:ind w:right="0" w:firstLine="0" w:left="1417"/>
    </w:pPr>
  </w:style>
  <w:style w:type="paragraph" w:styleId="755">
    <w:name w:val="toc 7"/>
    <w:basedOn w:val="681"/>
    <w:uiPriority w:val="39"/>
    <w:unhideWhenUsed/>
    <w:pPr>
      <w:pBdr/>
      <w:spacing w:after="57" w:before="0"/>
      <w:ind w:right="0" w:firstLine="0" w:left="1701"/>
    </w:pPr>
  </w:style>
  <w:style w:type="paragraph" w:styleId="756">
    <w:name w:val="toc 8"/>
    <w:basedOn w:val="681"/>
    <w:uiPriority w:val="39"/>
    <w:unhideWhenUsed/>
    <w:pPr>
      <w:pBdr/>
      <w:spacing w:after="57" w:before="0"/>
      <w:ind w:right="0" w:firstLine="0" w:left="1984"/>
    </w:pPr>
  </w:style>
  <w:style w:type="paragraph" w:styleId="757">
    <w:name w:val="toc 9"/>
    <w:basedOn w:val="681"/>
    <w:uiPriority w:val="39"/>
    <w:unhideWhenUsed/>
    <w:pPr>
      <w:pBdr/>
      <w:spacing w:after="57" w:before="0"/>
      <w:ind w:right="0" w:firstLine="0" w:left="2268"/>
    </w:pPr>
  </w:style>
  <w:style w:type="paragraph" w:styleId="758">
    <w:name w:val="Index Heading"/>
    <w:basedOn w:val="737"/>
    <w:pPr>
      <w:pBdr/>
      <w:spacing/>
      <w:ind/>
    </w:pPr>
  </w:style>
  <w:style w:type="paragraph" w:styleId="759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60">
    <w:name w:val="table of figures"/>
    <w:basedOn w:val="681"/>
    <w:uiPriority w:val="99"/>
    <w:unhideWhenUsed/>
    <w:qFormat/>
    <w:pPr>
      <w:pBdr/>
      <w:spacing w:after="0" w:afterAutospacing="0" w:before="0"/>
      <w:ind/>
    </w:pPr>
  </w:style>
  <w:style w:type="paragraph" w:styleId="761" w:customStyle="1">
    <w:name w:val="Указатель1"/>
    <w:basedOn w:val="681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62" w:customStyle="1">
    <w:name w:val="Колонтитул"/>
    <w:basedOn w:val="681"/>
    <w:qFormat/>
    <w:pPr>
      <w:suppressLineNumbers w:val="true"/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763">
    <w:name w:val="Header"/>
    <w:basedOn w:val="681"/>
    <w:pPr>
      <w:pBdr/>
      <w:spacing/>
      <w:ind/>
    </w:pPr>
    <w:rPr>
      <w:rFonts w:ascii="Calibri" w:hAnsi="Calibri" w:eastAsia="Calibri" w:cs="Calibri"/>
      <w:sz w:val="22"/>
      <w:szCs w:val="22"/>
    </w:rPr>
  </w:style>
  <w:style w:type="paragraph" w:styleId="764">
    <w:name w:val="Footer"/>
    <w:basedOn w:val="681"/>
    <w:pPr>
      <w:pBdr/>
      <w:spacing/>
      <w:ind/>
    </w:pPr>
  </w:style>
  <w:style w:type="paragraph" w:styleId="765">
    <w:name w:val="Balloon Text"/>
    <w:basedOn w:val="681"/>
    <w:qFormat/>
    <w:pPr>
      <w:pBdr/>
      <w:spacing/>
      <w:ind/>
    </w:pPr>
    <w:rPr>
      <w:rFonts w:ascii="Tahoma" w:hAnsi="Tahoma" w:eastAsia="Calibri" w:cs="Tahoma"/>
      <w:sz w:val="16"/>
      <w:szCs w:val="16"/>
    </w:rPr>
  </w:style>
  <w:style w:type="paragraph" w:styleId="766" w:customStyle="1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NSimSun" w:cs="Arial"/>
      <w:color w:val="auto"/>
      <w:sz w:val="20"/>
      <w:szCs w:val="20"/>
      <w:lang w:val="ru-RU" w:eastAsia="zh-CN" w:bidi="ar-SA"/>
    </w:rPr>
  </w:style>
  <w:style w:type="paragraph" w:styleId="767">
    <w:name w:val="List Paragraph"/>
    <w:basedOn w:val="681"/>
    <w:qFormat/>
    <w:pPr>
      <w:pBdr/>
      <w:spacing w:after="0" w:before="0"/>
      <w:ind w:firstLine="0" w:left="720"/>
      <w:contextualSpacing w:val="true"/>
    </w:pPr>
    <w:rPr>
      <w:szCs w:val="20"/>
    </w:rPr>
  </w:style>
  <w:style w:type="paragraph" w:styleId="768" w:customStyle="1">
    <w:name w:val="Текст1"/>
    <w:basedOn w:val="681"/>
    <w:qFormat/>
    <w:pPr>
      <w:pBdr/>
      <w:spacing/>
      <w:ind/>
    </w:pPr>
    <w:rPr>
      <w:rFonts w:ascii="Consolas" w:hAnsi="Consolas" w:eastAsia="Calibri" w:cs="Consolas"/>
      <w:sz w:val="21"/>
      <w:szCs w:val="21"/>
    </w:rPr>
  </w:style>
  <w:style w:type="paragraph" w:styleId="769" w:customStyle="1">
    <w:name w:val="paragraph scxw163741632 bcx0"/>
    <w:basedOn w:val="681"/>
    <w:qFormat/>
    <w:pPr>
      <w:pBdr/>
      <w:spacing w:after="280" w:before="280"/>
      <w:ind/>
    </w:pPr>
  </w:style>
  <w:style w:type="paragraph" w:styleId="770" w:customStyle="1">
    <w:name w:val="Style2"/>
    <w:qFormat/>
    <w:pPr>
      <w:keepNext w:val="false"/>
      <w:keepLines w:val="false"/>
      <w:pageBreakBefore w:val="false"/>
      <w:widowControl w:val="false"/>
      <w:pBdr/>
      <w:shd w:val="nil"/>
      <w:bidi w:val="false"/>
      <w:spacing w:after="0" w:afterAutospacing="0" w:before="0" w:beforeAutospacing="0" w:line="311" w:lineRule="exact"/>
      <w:ind w:right="0" w:firstLine="704" w:left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771" w:default="1">
    <w:name w:val="No List"/>
    <w:uiPriority w:val="99"/>
    <w:semiHidden/>
    <w:unhideWhenUsed/>
    <w:qFormat/>
    <w:pPr>
      <w:pBdr/>
      <w:spacing/>
      <w:ind/>
    </w:pPr>
  </w:style>
  <w:style w:type="table" w:styleId="772">
    <w:name w:val="Table Grid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 Light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33</cp:revision>
  <dcterms:created xsi:type="dcterms:W3CDTF">2024-12-18T12:15:00Z</dcterms:created>
  <dcterms:modified xsi:type="dcterms:W3CDTF">2026-02-20T10:17:57Z</dcterms:modified>
</cp:coreProperties>
</file>