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pStyle w:val="866"/>
        <w:contextualSpacing w:val="0"/>
        <w:ind w:left="28" w:right="0" w:firstLine="0"/>
        <w:jc w:val="center"/>
        <w:spacing w:before="0" w:after="0" w:line="283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2c2d2e"/>
          <w:sz w:val="28"/>
          <w:szCs w:val="28"/>
        </w:rPr>
        <w:t xml:space="preserve">О реализации Национальной системы пространственных данных </w:t>
      </w:r>
      <w:r>
        <w:rPr>
          <w:rFonts w:ascii="Times New Roman" w:hAnsi="Times New Roman" w:eastAsia="Times New Roman" w:cs="Times New Roman"/>
          <w:b/>
          <w:color w:val="2c2d2e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</w:rPr>
      </w:r>
    </w:p>
    <w:p>
      <w:pPr>
        <w:pStyle w:val="866"/>
        <w:contextualSpacing w:val="0"/>
        <w:ind w:left="28" w:right="0" w:firstLine="0"/>
        <w:jc w:val="center"/>
        <w:spacing w:before="0" w:after="0" w:line="283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2c2d2e"/>
          <w:sz w:val="28"/>
          <w:szCs w:val="28"/>
        </w:rPr>
        <w:t xml:space="preserve">в рамках госземнадзора</w:t>
      </w:r>
      <w:r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</w:rPr>
      </w:r>
      <w:r/>
    </w:p>
    <w:p>
      <w:pPr>
        <w:pStyle w:val="898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Карельским Росреестром продолжается работа по реализации проекта «Земля для стройки», интегрированного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Единую цифровую платформу «Национальная система пространственных данных»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НСПД)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(https://nspd.gov.ru)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ервис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«Земля для стройки»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предназначен для поиска свободных земельных участков и территорий, пригодных для жилищного строительства (включая индивидуальное жилищное строительство). Кроме того,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возможности сервиса позволяют в режиме реального времени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получить доступ к актуальной информации о категории и площади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земельного участка, его кадастровой стоимости, форме собственности, наличии (отсутствии) ограничений и обременений.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рамках осуществления контрольной (надзорной) деятельности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инспекторами ведомства прово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дится обследование территорий на предмет выявления неэффективно используемых земельных участков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последующего вовлечения их в хозяйственный оборот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2025 году на территории Республики Карелия государственными земельными инспекторами проведено 1735 контрольных (надзорных) мероприятий без взаимодействия с контролируемыми лицами, в ходе которых были обследованы земельные участки общей площадью 52 тысячи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га, - отметил заместитель руководителя ведомства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Владимир Карвонен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/>
    </w:p>
    <w:p>
      <w:pPr>
        <w:pStyle w:val="89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Площадь выявленных в результате контрольной (надзорной) деятельности неиспользуемых или используемых не в соответствии с разрешенным использованием земельных участков составила 3,7 тысяч га.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98"/>
        <w:ind w:left="0" w:righ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Использование сервиса «Земля для стройки» позволяет значительно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сократить сроки выбора и оформления земельного участка, повысить прозрачность процедур и минимизировать необходимость личного взаимодействия с государственными органами.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Чтобы воспользоваться сервисом необходимо перейти на официальный портал НСПД </w:t>
      </w:r>
      <w:hyperlink r:id="rId10" w:tooltip="https://nspd.gov.ru/" w:history="1">
        <w:r>
          <w:rPr>
            <w:rStyle w:val="94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https://nspd.gov.ru/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авторизоваться через Госуслуги, перейти в раздел «Сервисы» 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Земля для стройки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», далее, используя фильтрацию по региону, можно посмотреть информацию о заинтересовавшем вас земельном участке.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1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3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43" w:customStyle="1">
    <w:name w:val="Гиперссылка"/>
    <w:link w:val="924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nspd.gov.ru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25</cp:revision>
  <dcterms:created xsi:type="dcterms:W3CDTF">2024-07-05T06:34:00Z</dcterms:created>
  <dcterms:modified xsi:type="dcterms:W3CDTF">2026-03-19T13:19:42Z</dcterms:modified>
</cp:coreProperties>
</file>