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left="0" w:right="113" w:firstLine="851"/>
        <w:jc w:val="center"/>
        <w:spacing w:line="277" w:lineRule="exact"/>
        <w:rPr>
          <w:sz w:val="28"/>
          <w:szCs w:val="28"/>
          <w:highlight w:val="none"/>
          <w:u w:val="none"/>
          <w14:ligatures w14:val="none"/>
        </w:rPr>
      </w:pPr>
      <w:r>
        <w:rPr>
          <w:b/>
          <w:bCs/>
          <w:sz w:val="28"/>
          <w:szCs w:val="28"/>
          <w:u w:val="none"/>
        </w:rPr>
        <w:t xml:space="preserve">Я построил дом! Как оформить документы?</w:t>
      </w:r>
      <w:r>
        <w:rPr>
          <w:b/>
          <w:bCs/>
        </w:rPr>
      </w:r>
      <w:r>
        <w:rPr>
          <w:b/>
          <w:bCs/>
          <w:sz w:val="28"/>
          <w:szCs w:val="28"/>
          <w:highlight w:val="none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  <w:t xml:space="preserve">О</w:t>
      </w:r>
      <w:r>
        <w:rPr>
          <w:sz w:val="28"/>
          <w:szCs w:val="28"/>
          <w:u w:val="none"/>
        </w:rPr>
        <w:t xml:space="preserve">формление документов на построенный дом – обязательная процедура, которая позволяет юридически закрепить права собственности и полноценно распоряжаться недвижимостью.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  <w:t xml:space="preserve">Процесс включает в себя несколько этапов: подготовку документов, осуществление государственного кадастрового учета и регистрацию права собственно</w:t>
      </w:r>
      <w:r>
        <w:rPr>
          <w:sz w:val="28"/>
          <w:szCs w:val="28"/>
          <w:u w:val="none"/>
        </w:rPr>
        <w:t xml:space="preserve">сти в Росреестре. 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  <w:t xml:space="preserve">По общему правилу, </w:t>
      </w:r>
      <w:r>
        <w:rPr>
          <w:sz w:val="28"/>
          <w:szCs w:val="28"/>
          <w:u w:val="none"/>
        </w:rPr>
        <w:t xml:space="preserve">для возведения </w:t>
      </w:r>
      <w:r>
        <w:rPr>
          <w:sz w:val="28"/>
          <w:szCs w:val="28"/>
          <w:u w:val="none"/>
        </w:rPr>
        <w:t xml:space="preserve">жилого или садового дома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для осуществления крестьянски</w:t>
      </w:r>
      <w:r>
        <w:rPr>
          <w:sz w:val="28"/>
          <w:szCs w:val="28"/>
          <w:u w:val="none"/>
        </w:rPr>
        <w:t xml:space="preserve">м (фермерским) хозяйством своей деятельности, и соответствующего параметрам объекта индивидуального жилищного строительства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установлена обязанность для правообладателей таких земельных участков: уведомить о планируемом строительстве или реконструкции жилого или садового дома, а также об окончании строительства или реконструкции жилого или садового дома (уведомит</w:t>
      </w:r>
      <w:r>
        <w:rPr>
          <w:sz w:val="28"/>
          <w:szCs w:val="28"/>
          <w:u w:val="none"/>
        </w:rPr>
        <w:t xml:space="preserve">ельный порядок).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  <w:t xml:space="preserve">Соблюдая уведомительный порядок, перед началом строительства или реконструкции объекта индивидуального жилищного строительства (ИЖС) или садового дома застройщик (правообладатель земельного участка) должен предоставить в уполномоченный орган местного сам</w:t>
      </w:r>
      <w:r>
        <w:rPr>
          <w:sz w:val="28"/>
          <w:szCs w:val="28"/>
          <w:u w:val="none"/>
        </w:rPr>
        <w:t xml:space="preserve">оуправления уведомление о планируемом строительстве и</w:t>
      </w:r>
      <w:r>
        <w:rPr>
          <w:sz w:val="28"/>
          <w:szCs w:val="28"/>
          <w:u w:val="none"/>
        </w:rPr>
        <w:t xml:space="preserve">ли реконструкции объекта ИЖС или садового дома. Сделать это можно несколькими способами: </w:t>
      </w:r>
      <w:r>
        <w:rPr>
          <w:sz w:val="28"/>
          <w:szCs w:val="28"/>
          <w:u w:val="none"/>
        </w:rPr>
        <w:t xml:space="preserve">посредством личного обращения в уполномоченный орган</w:t>
      </w:r>
      <w:r>
        <w:rPr>
          <w:sz w:val="28"/>
          <w:szCs w:val="28"/>
          <w:u w:val="none"/>
        </w:rPr>
        <w:t xml:space="preserve">, заказным письмом с уведомлением по почте, через порт</w:t>
      </w:r>
      <w:r>
        <w:rPr>
          <w:sz w:val="28"/>
          <w:szCs w:val="28"/>
          <w:u w:val="none"/>
        </w:rPr>
        <w:t xml:space="preserve">ал госуслуг, через МФЦ. 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  <w:t xml:space="preserve">Уполномоченный орган в течении 7 рабочих дней со дня получения уведомления о планируемом строительстве, реконструкции проводит проверку </w:t>
      </w:r>
      <w:r>
        <w:rPr>
          <w:sz w:val="28"/>
          <w:szCs w:val="28"/>
          <w:u w:val="none"/>
        </w:rPr>
        <w:t xml:space="preserve">на соответствие будущей постройки </w:t>
      </w:r>
      <w:r>
        <w:rPr>
          <w:sz w:val="28"/>
          <w:szCs w:val="28"/>
          <w:u w:val="none"/>
        </w:rPr>
        <w:t xml:space="preserve">нормам </w:t>
      </w:r>
      <w:r>
        <w:rPr>
          <w:sz w:val="28"/>
          <w:szCs w:val="28"/>
          <w:u w:val="none"/>
        </w:rPr>
        <w:t xml:space="preserve">законодательства и направляет застройщику уведомление о соответствии или о</w:t>
      </w:r>
      <w:r>
        <w:rPr>
          <w:sz w:val="28"/>
          <w:szCs w:val="28"/>
          <w:u w:val="none"/>
        </w:rPr>
        <w:t xml:space="preserve"> несоотв</w:t>
      </w:r>
      <w:r>
        <w:rPr>
          <w:sz w:val="28"/>
          <w:szCs w:val="28"/>
          <w:u w:val="none"/>
        </w:rPr>
        <w:t xml:space="preserve">етствии </w:t>
      </w:r>
      <w:r>
        <w:rPr>
          <w:sz w:val="28"/>
          <w:szCs w:val="28"/>
          <w:u w:val="none"/>
        </w:rPr>
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параметрам. 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highlight w:val="none"/>
          <w:u w:val="none"/>
        </w:rPr>
        <w:t xml:space="preserve">В случае получения застройщиком уведомления о соответствии указанных в уведомлении о планируемом </w:t>
      </w:r>
      <w:r>
        <w:rPr>
          <w:sz w:val="28"/>
          <w:szCs w:val="28"/>
          <w:u w:val="none"/>
        </w:rPr>
        <w:t xml:space="preserve">строительстве параметров объекта индивидуального жилищного строительства или садового дома установленным параметрам либо ненаправления</w:t>
      </w:r>
      <w:r>
        <w:rPr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уведомления о несоответствии </w:t>
      </w:r>
      <w:r>
        <w:rPr>
          <w:sz w:val="28"/>
          <w:szCs w:val="28"/>
          <w:u w:val="none"/>
        </w:rPr>
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</w:t>
      </w:r>
      <w:r>
        <w:rPr>
          <w:sz w:val="28"/>
          <w:szCs w:val="28"/>
          <w:u w:val="none"/>
        </w:rPr>
        <w:t xml:space="preserve"> уполномоченными органами в установленный для этого срок размещение объекта на земельном участке считается согласованным (согласно указанным им параметрам). 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  <w:t xml:space="preserve">После окончания строительства застройщик должен снова подать в уполномоченный орган уведомление – об окончании строительства и приложить к нему технический план,</w:t>
      </w:r>
      <w:r>
        <w:rPr>
          <w:sz w:val="28"/>
          <w:szCs w:val="28"/>
          <w:u w:val="none"/>
        </w:rPr>
        <w:t xml:space="preserve"> подготовленный кадастровым инженером.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  <w:t xml:space="preserve">Технический план на </w:t>
      </w:r>
      <w:r>
        <w:rPr>
          <w:sz w:val="28"/>
          <w:szCs w:val="28"/>
          <w:u w:val="none"/>
        </w:rPr>
        <w:t xml:space="preserve">дом должен быть подготовлен на основании: декларации, уведомления о планируемом строительстве или реконструкции жилого или садового дома, уведомления о соответствии жилого или садового дома установленным требованиям (при наличии такого уведомления). Деклар</w:t>
      </w:r>
      <w:r>
        <w:rPr>
          <w:sz w:val="28"/>
          <w:szCs w:val="28"/>
          <w:u w:val="none"/>
        </w:rPr>
        <w:t xml:space="preserve">ация и уведомления в обязательном порядке прилагаются </w:t>
      </w:r>
      <w:r>
        <w:rPr>
          <w:sz w:val="28"/>
          <w:szCs w:val="28"/>
          <w:u w:val="none"/>
        </w:rPr>
        <w:t xml:space="preserve">к техническому плану и являются его неотъемлемой частью.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  <w:t xml:space="preserve">Если основания для выдачи уведомления о несоответствии требованиям </w:t>
      </w:r>
      <w:r>
        <w:rPr>
          <w:sz w:val="28"/>
          <w:szCs w:val="28"/>
          <w:u w:val="none"/>
        </w:rPr>
        <w:t xml:space="preserve">законодательства о градостроительной деятельности</w:t>
      </w:r>
      <w:r>
        <w:rPr>
          <w:sz w:val="28"/>
          <w:szCs w:val="28"/>
          <w:u w:val="none"/>
        </w:rPr>
        <w:t xml:space="preserve"> </w:t>
      </w:r>
      <w:r>
        <w:rPr>
          <w:sz w:val="28"/>
          <w:szCs w:val="28"/>
          <w:u w:val="none"/>
        </w:rPr>
        <w:t xml:space="preserve"> отсутствуют, уполномоченный орган обязан направить в орган регист</w:t>
      </w:r>
      <w:r>
        <w:rPr>
          <w:sz w:val="28"/>
          <w:szCs w:val="28"/>
          <w:u w:val="none"/>
        </w:rPr>
        <w:t xml:space="preserve">рации прав заявление о постановке данного объекта на государстве</w:t>
      </w:r>
      <w:r>
        <w:rPr>
          <w:sz w:val="28"/>
          <w:szCs w:val="28"/>
          <w:u w:val="none"/>
        </w:rPr>
        <w:t xml:space="preserve">нный кадастровый учет и государственной регистрации прав на него, к которому должен приложить уведомление об окончании строительства индивидуального жилого дома, садового дома, технический план и соглашение об определении долей в праве общей долевой собств</w:t>
      </w:r>
      <w:r>
        <w:rPr>
          <w:sz w:val="28"/>
          <w:szCs w:val="28"/>
          <w:u w:val="none"/>
        </w:rPr>
        <w:t xml:space="preserve">енности на созданный объект (при наличии последнего). 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u w:val="none"/>
          <w14:ligatures w14:val="none"/>
        </w:rPr>
      </w:pPr>
      <w:r>
        <w:rPr>
          <w:sz w:val="28"/>
          <w:szCs w:val="28"/>
          <w:u w:val="none"/>
        </w:rPr>
        <w:t xml:space="preserve">Вместе с тем, </w:t>
      </w:r>
      <w:r>
        <w:rPr>
          <w:sz w:val="28"/>
          <w:szCs w:val="28"/>
          <w:u w:val="none"/>
        </w:rPr>
        <w:t xml:space="preserve">в соответствии с частью </w:t>
      </w:r>
      <w:r>
        <w:rPr>
          <w:sz w:val="28"/>
          <w:szCs w:val="28"/>
          <w:u w:val="none"/>
        </w:rPr>
        <w:t xml:space="preserve">12 статьи 70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Федерального закона от 13.07.2015 № 218-ФЗ "О государственной регистрации недвижимости"</w:t>
      </w:r>
      <w:r>
        <w:rPr>
          <w:sz w:val="28"/>
          <w:szCs w:val="28"/>
        </w:rPr>
        <w:t xml:space="preserve"> (далее – Закон о регистрации) </w:t>
      </w:r>
      <w:r>
        <w:rPr>
          <w:sz w:val="28"/>
          <w:szCs w:val="28"/>
          <w:u w:val="none"/>
        </w:rPr>
        <w:t xml:space="preserve">допускается осуществление государственного кадастрового учета и (или) государственной регистрации прав на жилые или садовые дома, созданные на вышеуказанных земельных участках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none"/>
        </w:rPr>
        <w:t xml:space="preserve">на основании только технического плана</w:t>
      </w:r>
      <w:r>
        <w:rPr>
          <w:sz w:val="28"/>
          <w:szCs w:val="28"/>
          <w:u w:val="none"/>
        </w:rPr>
        <w:t xml:space="preserve"> и</w:t>
      </w:r>
      <w:r>
        <w:rPr>
          <w:sz w:val="28"/>
          <w:szCs w:val="28"/>
          <w:u w:val="none"/>
        </w:rPr>
        <w:t xml:space="preserve"> правоустанавливающего документа на земельный участок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упрощенный порядок или так называемая «дачная амнистия»).</w:t>
      </w:r>
      <w:r>
        <w:rPr>
          <w:sz w:val="28"/>
          <w:szCs w:val="28"/>
          <w:u w:val="none"/>
          <w14:ligatures w14:val="none"/>
        </w:rPr>
      </w:r>
      <w:r>
        <w:rPr>
          <w:sz w:val="28"/>
          <w:szCs w:val="28"/>
          <w:u w:val="none"/>
          <w14:ligatures w14:val="none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Следует учитывать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с 1 марта 2025 года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осу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ществить государственный кадастровый учет или оформить пр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ава на здание, сооружение ил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и объект незавершенного строительства, расположенные на земельном участке без установления местоположения границ на местности не представляется возможным </w:t>
      </w:r>
      <w:r>
        <w:rPr>
          <w:sz w:val="28"/>
          <w:szCs w:val="28"/>
          <w:highlight w:val="none"/>
        </w:rPr>
        <w:t xml:space="preserve">(пункт</w:t>
      </w:r>
      <w:r>
        <w:rPr>
          <w:sz w:val="28"/>
          <w:szCs w:val="28"/>
          <w:highlight w:val="none"/>
        </w:rPr>
        <w:t xml:space="preserve"> 21.2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части 1 статьи 26 Закона о регистрации).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right="-1" w:firstLine="709"/>
        <w:jc w:val="both"/>
        <w:spacing w:line="85" w:lineRule="atLeast"/>
        <w:rPr>
          <w:i/>
          <w:iCs/>
          <w:color w:val="auto"/>
          <w:sz w:val="26"/>
          <w:szCs w:val="26"/>
        </w:rPr>
        <w:suppressLineNumbers w:val="0"/>
      </w:pPr>
      <w:r>
        <w:rPr>
          <w:i/>
          <w:iCs/>
          <w:color w:val="auto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3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73"/>
    <w:link w:val="86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73"/>
    <w:link w:val="86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73"/>
    <w:link w:val="87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873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873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67"/>
    <w:next w:val="86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67"/>
    <w:next w:val="86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67"/>
    <w:next w:val="86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67"/>
    <w:next w:val="86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873"/>
    <w:link w:val="929"/>
    <w:uiPriority w:val="10"/>
    <w:rPr>
      <w:sz w:val="48"/>
      <w:szCs w:val="48"/>
    </w:rPr>
  </w:style>
  <w:style w:type="character" w:styleId="725">
    <w:name w:val="Subtitle Char"/>
    <w:basedOn w:val="873"/>
    <w:link w:val="925"/>
    <w:uiPriority w:val="11"/>
    <w:rPr>
      <w:sz w:val="24"/>
      <w:szCs w:val="24"/>
    </w:rPr>
  </w:style>
  <w:style w:type="paragraph" w:styleId="726">
    <w:name w:val="Quote"/>
    <w:basedOn w:val="867"/>
    <w:next w:val="86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67"/>
    <w:next w:val="86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3"/>
    <w:link w:val="910"/>
    <w:uiPriority w:val="99"/>
  </w:style>
  <w:style w:type="character" w:styleId="731">
    <w:name w:val="Footer Char"/>
    <w:basedOn w:val="873"/>
    <w:link w:val="935"/>
    <w:uiPriority w:val="99"/>
  </w:style>
  <w:style w:type="paragraph" w:styleId="73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935"/>
    <w:uiPriority w:val="99"/>
  </w:style>
  <w:style w:type="table" w:styleId="734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6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paragraph" w:styleId="862">
    <w:name w:val="endnote text"/>
    <w:basedOn w:val="86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3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link w:val="876"/>
    <w:qFormat/>
    <w:rPr>
      <w:rFonts w:ascii="Times New Roman" w:hAnsi="Times New Roman"/>
      <w:sz w:val="24"/>
    </w:rPr>
  </w:style>
  <w:style w:type="paragraph" w:styleId="868">
    <w:name w:val="Heading 1"/>
    <w:basedOn w:val="867"/>
    <w:link w:val="89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9">
    <w:name w:val="Heading 2"/>
    <w:next w:val="867"/>
    <w:link w:val="93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0">
    <w:name w:val="Heading 3"/>
    <w:next w:val="867"/>
    <w:link w:val="885"/>
    <w:uiPriority w:val="9"/>
    <w:qFormat/>
    <w:pPr>
      <w:outlineLvl w:val="2"/>
    </w:pPr>
    <w:rPr>
      <w:rFonts w:ascii="XO Thames" w:hAnsi="XO Thames"/>
      <w:b/>
      <w:i/>
    </w:rPr>
  </w:style>
  <w:style w:type="paragraph" w:styleId="871">
    <w:name w:val="Heading 4"/>
    <w:next w:val="867"/>
    <w:link w:val="93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2">
    <w:name w:val="Heading 5"/>
    <w:next w:val="867"/>
    <w:link w:val="89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бычный1"/>
    <w:rPr>
      <w:rFonts w:ascii="Times New Roman" w:hAnsi="Times New Roman"/>
      <w:sz w:val="24"/>
    </w:rPr>
  </w:style>
  <w:style w:type="paragraph" w:styleId="877">
    <w:name w:val="toc 2"/>
    <w:next w:val="867"/>
    <w:link w:val="878"/>
    <w:uiPriority w:val="39"/>
    <w:pPr>
      <w:ind w:left="200"/>
    </w:pPr>
  </w:style>
  <w:style w:type="character" w:styleId="878" w:customStyle="1">
    <w:name w:val="Оглавление 2 Знак"/>
    <w:link w:val="877"/>
  </w:style>
  <w:style w:type="paragraph" w:styleId="879">
    <w:name w:val="toc 4"/>
    <w:next w:val="867"/>
    <w:link w:val="880"/>
    <w:uiPriority w:val="39"/>
    <w:pPr>
      <w:ind w:left="600"/>
    </w:pPr>
  </w:style>
  <w:style w:type="character" w:styleId="880" w:customStyle="1">
    <w:name w:val="Оглавление 4 Знак"/>
    <w:link w:val="879"/>
  </w:style>
  <w:style w:type="paragraph" w:styleId="881">
    <w:name w:val="toc 6"/>
    <w:next w:val="867"/>
    <w:link w:val="882"/>
    <w:uiPriority w:val="39"/>
    <w:pPr>
      <w:ind w:left="1000"/>
    </w:pPr>
  </w:style>
  <w:style w:type="character" w:styleId="882" w:customStyle="1">
    <w:name w:val="Оглавление 6 Знак"/>
    <w:link w:val="881"/>
  </w:style>
  <w:style w:type="paragraph" w:styleId="883">
    <w:name w:val="toc 7"/>
    <w:next w:val="867"/>
    <w:link w:val="884"/>
    <w:uiPriority w:val="39"/>
    <w:pPr>
      <w:ind w:left="1200"/>
    </w:pPr>
  </w:style>
  <w:style w:type="character" w:styleId="884" w:customStyle="1">
    <w:name w:val="Оглавление 7 Знак"/>
    <w:link w:val="883"/>
  </w:style>
  <w:style w:type="character" w:styleId="885" w:customStyle="1">
    <w:name w:val="Заголовок 3 Знак"/>
    <w:link w:val="870"/>
    <w:rPr>
      <w:rFonts w:ascii="XO Thames" w:hAnsi="XO Thames"/>
      <w:b/>
      <w:i/>
      <w:color w:val="000000"/>
    </w:rPr>
  </w:style>
  <w:style w:type="paragraph" w:styleId="886" w:customStyle="1">
    <w:name w:val="article_decoration_first"/>
    <w:basedOn w:val="867"/>
    <w:link w:val="887"/>
    <w:pPr>
      <w:spacing w:beforeAutospacing="1" w:afterAutospacing="1"/>
    </w:pPr>
  </w:style>
  <w:style w:type="character" w:styleId="887" w:customStyle="1">
    <w:name w:val="article_decoration_first"/>
    <w:basedOn w:val="876"/>
    <w:link w:val="886"/>
    <w:rPr>
      <w:rFonts w:ascii="Times New Roman" w:hAnsi="Times New Roman"/>
      <w:sz w:val="24"/>
    </w:rPr>
  </w:style>
  <w:style w:type="paragraph" w:styleId="888" w:customStyle="1">
    <w:name w:val="Строгий1"/>
    <w:basedOn w:val="918"/>
    <w:link w:val="889"/>
    <w:rPr>
      <w:b/>
    </w:rPr>
  </w:style>
  <w:style w:type="character" w:styleId="889">
    <w:name w:val="Strong"/>
    <w:basedOn w:val="873"/>
    <w:link w:val="888"/>
    <w:rPr>
      <w:b/>
    </w:rPr>
  </w:style>
  <w:style w:type="paragraph" w:styleId="890">
    <w:name w:val="Balloon Text"/>
    <w:basedOn w:val="867"/>
    <w:link w:val="891"/>
    <w:rPr>
      <w:rFonts w:ascii="Tahoma" w:hAnsi="Tahoma"/>
      <w:sz w:val="16"/>
    </w:rPr>
  </w:style>
  <w:style w:type="character" w:styleId="891" w:customStyle="1">
    <w:name w:val="Текст выноски Знак"/>
    <w:basedOn w:val="876"/>
    <w:link w:val="890"/>
    <w:rPr>
      <w:rFonts w:ascii="Tahoma" w:hAnsi="Tahoma"/>
      <w:sz w:val="16"/>
    </w:rPr>
  </w:style>
  <w:style w:type="paragraph" w:styleId="892" w:customStyle="1">
    <w:name w:val="ConsPlusNormal"/>
    <w:link w:val="893"/>
    <w:pPr>
      <w:ind w:firstLine="720"/>
    </w:pPr>
    <w:rPr>
      <w:rFonts w:ascii="Arial" w:hAnsi="Arial"/>
    </w:rPr>
  </w:style>
  <w:style w:type="character" w:styleId="893" w:customStyle="1">
    <w:name w:val="ConsPlusNormal"/>
    <w:link w:val="892"/>
    <w:rPr>
      <w:rFonts w:ascii="Arial" w:hAnsi="Arial"/>
    </w:rPr>
  </w:style>
  <w:style w:type="paragraph" w:styleId="894">
    <w:name w:val="toc 3"/>
    <w:next w:val="867"/>
    <w:link w:val="895"/>
    <w:uiPriority w:val="39"/>
    <w:pPr>
      <w:ind w:left="400"/>
    </w:pPr>
  </w:style>
  <w:style w:type="character" w:styleId="895" w:customStyle="1">
    <w:name w:val="Оглавление 3 Знак"/>
    <w:link w:val="894"/>
  </w:style>
  <w:style w:type="paragraph" w:styleId="896" w:customStyle="1">
    <w:name w:val="Просмотренная гиперссылка1"/>
    <w:basedOn w:val="918"/>
    <w:link w:val="897"/>
    <w:rPr>
      <w:color w:val="800080"/>
      <w:u w:val="single"/>
    </w:rPr>
  </w:style>
  <w:style w:type="character" w:styleId="897">
    <w:name w:val="FollowedHyperlink"/>
    <w:basedOn w:val="873"/>
    <w:link w:val="896"/>
    <w:rPr>
      <w:color w:val="800080"/>
      <w:u w:val="single"/>
    </w:rPr>
  </w:style>
  <w:style w:type="character" w:styleId="898" w:customStyle="1">
    <w:name w:val="Заголовок 5 Знак"/>
    <w:link w:val="872"/>
    <w:rPr>
      <w:rFonts w:ascii="XO Thames" w:hAnsi="XO Thames"/>
      <w:b/>
      <w:color w:val="000000"/>
      <w:sz w:val="22"/>
    </w:rPr>
  </w:style>
  <w:style w:type="character" w:styleId="899" w:customStyle="1">
    <w:name w:val="Заголовок 1 Знак"/>
    <w:basedOn w:val="876"/>
    <w:link w:val="868"/>
    <w:rPr>
      <w:rFonts w:ascii="Times New Roman" w:hAnsi="Times New Roman"/>
      <w:b/>
      <w:sz w:val="48"/>
    </w:rPr>
  </w:style>
  <w:style w:type="paragraph" w:styleId="900">
    <w:name w:val="No Spacing"/>
    <w:link w:val="901"/>
    <w:uiPriority w:val="1"/>
    <w:qFormat/>
    <w:rPr>
      <w:sz w:val="22"/>
    </w:rPr>
  </w:style>
  <w:style w:type="character" w:styleId="901" w:customStyle="1">
    <w:name w:val="Без интервала Знак"/>
    <w:link w:val="900"/>
    <w:uiPriority w:val="1"/>
    <w:rPr>
      <w:sz w:val="22"/>
    </w:rPr>
  </w:style>
  <w:style w:type="paragraph" w:styleId="902" w:customStyle="1">
    <w:name w:val="Гиперссылка1"/>
    <w:link w:val="903"/>
    <w:rPr>
      <w:color w:val="0000ff"/>
      <w:u w:val="single"/>
    </w:rPr>
  </w:style>
  <w:style w:type="character" w:styleId="903">
    <w:name w:val="Hyperlink"/>
    <w:link w:val="902"/>
    <w:uiPriority w:val="99"/>
    <w:rPr>
      <w:color w:val="0000ff"/>
      <w:u w:val="single"/>
    </w:rPr>
  </w:style>
  <w:style w:type="paragraph" w:styleId="904" w:customStyle="1">
    <w:name w:val="Footnote"/>
    <w:basedOn w:val="867"/>
    <w:link w:val="905"/>
    <w:rPr>
      <w:sz w:val="20"/>
    </w:rPr>
  </w:style>
  <w:style w:type="character" w:styleId="905" w:customStyle="1">
    <w:name w:val="Footnote"/>
    <w:basedOn w:val="876"/>
    <w:link w:val="904"/>
    <w:rPr>
      <w:rFonts w:ascii="Times New Roman" w:hAnsi="Times New Roman"/>
      <w:sz w:val="20"/>
    </w:rPr>
  </w:style>
  <w:style w:type="paragraph" w:styleId="906">
    <w:name w:val="toc 1"/>
    <w:next w:val="867"/>
    <w:link w:val="907"/>
    <w:uiPriority w:val="39"/>
    <w:rPr>
      <w:rFonts w:ascii="XO Thames" w:hAnsi="XO Thames"/>
      <w:b/>
    </w:rPr>
  </w:style>
  <w:style w:type="character" w:styleId="907" w:customStyle="1">
    <w:name w:val="Оглавление 1 Знак"/>
    <w:link w:val="906"/>
    <w:rPr>
      <w:rFonts w:ascii="XO Thames" w:hAnsi="XO Thames"/>
      <w:b/>
    </w:rPr>
  </w:style>
  <w:style w:type="paragraph" w:styleId="908" w:customStyle="1">
    <w:name w:val="Header and Footer"/>
    <w:link w:val="909"/>
    <w:pPr>
      <w:spacing w:line="360" w:lineRule="auto"/>
    </w:pPr>
    <w:rPr>
      <w:rFonts w:ascii="XO Thames" w:hAnsi="XO Thames"/>
    </w:rPr>
  </w:style>
  <w:style w:type="character" w:styleId="909" w:customStyle="1">
    <w:name w:val="Header and Footer"/>
    <w:link w:val="908"/>
    <w:rPr>
      <w:rFonts w:ascii="XO Thames" w:hAnsi="XO Thames"/>
      <w:sz w:val="20"/>
    </w:rPr>
  </w:style>
  <w:style w:type="paragraph" w:styleId="910">
    <w:name w:val="Header"/>
    <w:basedOn w:val="867"/>
    <w:link w:val="91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1" w:customStyle="1">
    <w:name w:val="Верхний колонтитул Знак"/>
    <w:basedOn w:val="876"/>
    <w:link w:val="910"/>
    <w:rPr>
      <w:rFonts w:ascii="Calibri" w:hAnsi="Calibri"/>
      <w:sz w:val="22"/>
    </w:rPr>
  </w:style>
  <w:style w:type="paragraph" w:styleId="912">
    <w:name w:val="toc 9"/>
    <w:next w:val="867"/>
    <w:link w:val="913"/>
    <w:uiPriority w:val="39"/>
    <w:pPr>
      <w:ind w:left="1600"/>
    </w:pPr>
  </w:style>
  <w:style w:type="character" w:styleId="913" w:customStyle="1">
    <w:name w:val="Оглавление 9 Знак"/>
    <w:link w:val="912"/>
  </w:style>
  <w:style w:type="paragraph" w:styleId="914">
    <w:name w:val="Normal (Web)"/>
    <w:basedOn w:val="867"/>
    <w:link w:val="915"/>
    <w:uiPriority w:val="99"/>
    <w:pPr>
      <w:spacing w:beforeAutospacing="1" w:afterAutospacing="1"/>
    </w:pPr>
  </w:style>
  <w:style w:type="character" w:styleId="915" w:customStyle="1">
    <w:name w:val="Обычный (веб) Знак"/>
    <w:basedOn w:val="876"/>
    <w:link w:val="914"/>
    <w:uiPriority w:val="99"/>
    <w:rPr>
      <w:rFonts w:ascii="Times New Roman" w:hAnsi="Times New Roman"/>
      <w:sz w:val="24"/>
    </w:rPr>
  </w:style>
  <w:style w:type="paragraph" w:styleId="916">
    <w:name w:val="toc 8"/>
    <w:next w:val="867"/>
    <w:link w:val="917"/>
    <w:uiPriority w:val="39"/>
    <w:pPr>
      <w:ind w:left="1400"/>
    </w:pPr>
  </w:style>
  <w:style w:type="character" w:styleId="917" w:customStyle="1">
    <w:name w:val="Оглавление 8 Знак"/>
    <w:link w:val="916"/>
  </w:style>
  <w:style w:type="paragraph" w:styleId="918" w:customStyle="1">
    <w:name w:val="Основной шрифт абзаца1"/>
  </w:style>
  <w:style w:type="paragraph" w:styleId="919">
    <w:name w:val="List Paragraph"/>
    <w:basedOn w:val="867"/>
    <w:link w:val="920"/>
    <w:uiPriority w:val="34"/>
    <w:qFormat/>
    <w:pPr>
      <w:contextualSpacing/>
      <w:ind w:left="720"/>
    </w:pPr>
  </w:style>
  <w:style w:type="character" w:styleId="920" w:customStyle="1">
    <w:name w:val="Абзац списка Знак"/>
    <w:basedOn w:val="876"/>
    <w:link w:val="919"/>
    <w:rPr>
      <w:rFonts w:ascii="Times New Roman" w:hAnsi="Times New Roman"/>
      <w:sz w:val="24"/>
    </w:rPr>
  </w:style>
  <w:style w:type="paragraph" w:styleId="921">
    <w:name w:val="toc 5"/>
    <w:next w:val="867"/>
    <w:link w:val="922"/>
    <w:uiPriority w:val="39"/>
    <w:pPr>
      <w:ind w:left="800"/>
    </w:pPr>
  </w:style>
  <w:style w:type="character" w:styleId="922" w:customStyle="1">
    <w:name w:val="Оглавление 5 Знак"/>
    <w:link w:val="921"/>
  </w:style>
  <w:style w:type="paragraph" w:styleId="923">
    <w:name w:val="Plain Text"/>
    <w:basedOn w:val="867"/>
    <w:link w:val="924"/>
    <w:uiPriority w:val="99"/>
    <w:rPr>
      <w:rFonts w:ascii="Consolas" w:hAnsi="Consolas"/>
      <w:sz w:val="21"/>
    </w:rPr>
  </w:style>
  <w:style w:type="character" w:styleId="924" w:customStyle="1">
    <w:name w:val="Текст Знак"/>
    <w:basedOn w:val="876"/>
    <w:link w:val="923"/>
    <w:uiPriority w:val="99"/>
    <w:rPr>
      <w:rFonts w:ascii="Consolas" w:hAnsi="Consolas"/>
      <w:sz w:val="21"/>
    </w:rPr>
  </w:style>
  <w:style w:type="paragraph" w:styleId="925">
    <w:name w:val="Subtitle"/>
    <w:next w:val="867"/>
    <w:link w:val="926"/>
    <w:uiPriority w:val="11"/>
    <w:qFormat/>
    <w:rPr>
      <w:rFonts w:ascii="XO Thames" w:hAnsi="XO Thames"/>
      <w:i/>
      <w:color w:val="616161"/>
      <w:sz w:val="24"/>
    </w:rPr>
  </w:style>
  <w:style w:type="character" w:styleId="926" w:customStyle="1">
    <w:name w:val="Подзаголовок Знак"/>
    <w:link w:val="925"/>
    <w:rPr>
      <w:rFonts w:ascii="XO Thames" w:hAnsi="XO Thames"/>
      <w:i/>
      <w:color w:val="616161"/>
      <w:sz w:val="24"/>
    </w:rPr>
  </w:style>
  <w:style w:type="paragraph" w:styleId="927" w:customStyle="1">
    <w:name w:val="toc 10"/>
    <w:next w:val="867"/>
    <w:link w:val="928"/>
    <w:uiPriority w:val="39"/>
    <w:pPr>
      <w:ind w:left="1800"/>
    </w:pPr>
  </w:style>
  <w:style w:type="character" w:styleId="928" w:customStyle="1">
    <w:name w:val="toc 10"/>
    <w:link w:val="927"/>
  </w:style>
  <w:style w:type="paragraph" w:styleId="929">
    <w:name w:val="Title"/>
    <w:next w:val="867"/>
    <w:link w:val="930"/>
    <w:uiPriority w:val="10"/>
    <w:qFormat/>
    <w:rPr>
      <w:rFonts w:ascii="XO Thames" w:hAnsi="XO Thames"/>
      <w:b/>
      <w:sz w:val="52"/>
    </w:rPr>
  </w:style>
  <w:style w:type="character" w:styleId="930" w:customStyle="1">
    <w:name w:val="Название Знак"/>
    <w:link w:val="929"/>
    <w:rPr>
      <w:rFonts w:ascii="XO Thames" w:hAnsi="XO Thames"/>
      <w:b/>
      <w:sz w:val="52"/>
    </w:rPr>
  </w:style>
  <w:style w:type="character" w:styleId="931" w:customStyle="1">
    <w:name w:val="Заголовок 4 Знак"/>
    <w:link w:val="871"/>
    <w:rPr>
      <w:rFonts w:ascii="XO Thames" w:hAnsi="XO Thames"/>
      <w:b/>
      <w:color w:val="595959"/>
      <w:sz w:val="26"/>
    </w:rPr>
  </w:style>
  <w:style w:type="character" w:styleId="932" w:customStyle="1">
    <w:name w:val="Заголовок 2 Знак"/>
    <w:link w:val="869"/>
    <w:rPr>
      <w:rFonts w:ascii="XO Thames" w:hAnsi="XO Thames"/>
      <w:b/>
      <w:color w:val="00a0ff"/>
      <w:sz w:val="26"/>
    </w:rPr>
  </w:style>
  <w:style w:type="paragraph" w:styleId="933" w:customStyle="1">
    <w:name w:val="Знак сноски1"/>
    <w:basedOn w:val="918"/>
    <w:link w:val="934"/>
    <w:rPr>
      <w:vertAlign w:val="superscript"/>
    </w:rPr>
  </w:style>
  <w:style w:type="character" w:styleId="934">
    <w:name w:val="footnote reference"/>
    <w:basedOn w:val="873"/>
    <w:link w:val="933"/>
    <w:rPr>
      <w:vertAlign w:val="superscript"/>
    </w:rPr>
  </w:style>
  <w:style w:type="paragraph" w:styleId="935">
    <w:name w:val="Footer"/>
    <w:basedOn w:val="867"/>
    <w:link w:val="936"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876"/>
    <w:link w:val="935"/>
    <w:rPr>
      <w:rFonts w:ascii="Times New Roman" w:hAnsi="Times New Roman"/>
      <w:sz w:val="24"/>
    </w:rPr>
  </w:style>
  <w:style w:type="character" w:styleId="937" w:customStyle="1">
    <w:name w:val="Основной текст (2) + 11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8" w:customStyle="1">
    <w:name w:val="Подпись к таблице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9" w:customStyle="1">
    <w:name w:val="Font Style11"/>
    <w:basedOn w:val="873"/>
    <w:rPr>
      <w:rFonts w:hint="default" w:ascii="Times New Roman" w:hAnsi="Times New Roman" w:cs="Times New Roman"/>
      <w:sz w:val="24"/>
      <w:szCs w:val="24"/>
    </w:rPr>
  </w:style>
  <w:style w:type="character" w:styleId="940" w:customStyle="1">
    <w:name w:val="Основной текст_"/>
    <w:basedOn w:val="873"/>
    <w:link w:val="941"/>
    <w:rPr>
      <w:rFonts w:ascii="Times New Roman" w:hAnsi="Times New Roman"/>
      <w:sz w:val="27"/>
      <w:szCs w:val="27"/>
      <w:shd w:val="clear" w:color="auto" w:fill="ffffff"/>
    </w:rPr>
  </w:style>
  <w:style w:type="paragraph" w:styleId="941" w:customStyle="1">
    <w:name w:val="Основной текст1"/>
    <w:basedOn w:val="867"/>
    <w:link w:val="94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2">
    <w:name w:val="Emphasis"/>
    <w:basedOn w:val="873"/>
    <w:uiPriority w:val="20"/>
    <w:qFormat/>
    <w:rPr>
      <w:i/>
      <w:iCs/>
    </w:rPr>
  </w:style>
  <w:style w:type="paragraph" w:styleId="943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2024-07-05T06:34:00Z</dcterms:created>
  <dcterms:modified xsi:type="dcterms:W3CDTF">2026-03-25T06:26:22Z</dcterms:modified>
</cp:coreProperties>
</file>