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firstLine="709"/>
        <w:jc w:val="center"/>
        <w:spacing w:before="0" w:after="0" w:line="240" w:lineRule="auto"/>
        <w:shd w:val="clear" w:color="auto" w:fill="ffffff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i w:val="0"/>
          <w:iCs w:val="0"/>
          <w:color w:val="0f1115"/>
          <w:sz w:val="28"/>
          <w:szCs w:val="28"/>
          <w:lang w:eastAsia="ru-RU"/>
        </w:rPr>
        <w:t xml:space="preserve">Информация о недвижимости: как получить</w:t>
      </w:r>
      <w:r/>
      <w:r>
        <w:rPr>
          <w:rFonts w:ascii="Times New Roman" w:hAnsi="Times New Roman" w:cs="Times New Roman"/>
          <w:i w:val="0"/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shd w:val="clear" w:color="auto" w:fill="ffffff"/>
        </w:rPr>
        <w:t xml:space="preserve">Информация из Единого государственного реестра недвижимости (ЕГРН) делится на две категории: </w:t>
      </w: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  <w:shd w:val="clear" w:color="auto" w:fill="ffffff"/>
        </w:rPr>
        <w:t xml:space="preserve">общедоступную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  <w:shd w:val="clear" w:color="auto" w:fill="ffffff"/>
        </w:rPr>
        <w:t xml:space="preserve"> и </w:t>
      </w: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  <w:shd w:val="clear" w:color="auto" w:fill="ffffff"/>
        </w:rPr>
        <w:t xml:space="preserve">ограниченного доступа.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Большинство данных об объекте недвижимости открыты для всех желающих. Получить их можно в виде выписок, которые содержат основные технические характеристики об объекте.</w:t>
      </w:r>
      <w:r>
        <w:rPr>
          <w:highlight w:val="none"/>
        </w:rPr>
      </w:r>
      <w:r>
        <w:rPr>
          <w:highlight w:val="none"/>
        </w:rPr>
      </w:r>
    </w:p>
    <w:p>
      <w:pPr>
        <w:pStyle w:val="921"/>
        <w:ind w:left="0" w:right="27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f1115"/>
          <w:sz w:val="28"/>
          <w:szCs w:val="28"/>
        </w:rPr>
        <w:t xml:space="preserve">Главное правило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: </w:t>
      </w: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персональные данные собственника для лиц, не обладающих правом на получение сведений ограниченного доступа, будут скрыты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— 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вместо полного имени будет указано «Физическое лицо»</w:t>
      </w:r>
      <w:r>
        <w:rPr>
          <w:rStyle w:val="891"/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  <w:t xml:space="preserve">.</w:t>
      </w:r>
      <w:r>
        <w:rPr>
          <w:rStyle w:val="891"/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  <w:highlight w:val="none"/>
        </w:rPr>
      </w:r>
      <w:r>
        <w:rPr>
          <w:rStyle w:val="891"/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  <w:highlight w:val="none"/>
        </w:rPr>
      </w:r>
    </w:p>
    <w:p>
      <w:pPr>
        <w:pStyle w:val="871"/>
        <w:ind w:left="0" w:right="0" w:firstLine="709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0f1115"/>
          <w:sz w:val="28"/>
          <w:szCs w:val="28"/>
        </w:rPr>
        <w:t xml:space="preserve">Важно знать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highlight w:val="none"/>
        </w:rPr>
      </w:r>
    </w:p>
    <w:p>
      <w:pPr>
        <w:pStyle w:val="1_734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Владелец недвижимости может открыть доступ к своим персональным данным для третьих лиц. Для этого он подает заявление в 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Росреестр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 через МФЦ или 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Госуслуги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 о внесении в ЕГРН записи о возможности предоставления персональных данных третьим лицам.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highlight w:val="none"/>
        </w:rPr>
      </w:r>
    </w:p>
    <w:p>
      <w:pPr>
        <w:pStyle w:val="921"/>
        <w:ind w:left="0" w:right="27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</w:pPr>
      <w:r>
        <w:rPr>
          <w:rStyle w:val="891"/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К общедоступным выпискам относятся:</w:t>
      </w:r>
      <w:r>
        <w:rPr>
          <w:rStyle w:val="891"/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</w:r>
      <w:r>
        <w:rPr>
          <w:rStyle w:val="891"/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6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об основных характеристиках и зарегистрированных правах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(содержит адрес, площадь, кадастровую стоимость, правообладателя (или пометку «физическое лицо», а также наличие обременений).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6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об объекте недвижимости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(более полная версия предыдущей, содержит информацию о границах участка,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расположении в зонах с особыми условиями использования (например, водоохранных, санитарно-охранных зонах)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6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 переходе прав на объект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(позволяет отследить историю владения объектом и всех предыдущих собственников).</w:t>
      </w:r>
      <w:r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6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 кадастровой стоимости объекта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(предоставляется бесплатно).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6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 договорах участия в долевом строительстве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ind w:left="0" w:right="0" w:firstLine="567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Cs w:val="0"/>
          <w:i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Другая категория выписок – это выписки, которые выдаются 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только ограниченному кругу лиц (сведения ограниченного доступа)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. Их могут получить только определенные законом лица: </w:t>
      </w:r>
      <w:r>
        <w:rPr>
          <w:rFonts w:ascii="Times New Roman" w:hAnsi="Times New Roman" w:eastAsia="Times New Roman" w:cs="Times New Roman"/>
          <w:bCs w:val="0"/>
          <w:i w:val="0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f1115"/>
          <w:sz w:val="28"/>
          <w:szCs w:val="28"/>
          <w:highlight w:val="none"/>
        </w:rPr>
      </w:r>
    </w:p>
    <w:p>
      <w:pPr>
        <w:pStyle w:val="1_734"/>
        <w:ind w:left="0" w:right="0" w:firstLine="567"/>
        <w:jc w:val="both"/>
        <w:spacing w:before="0" w:beforeAutospacing="0" w:after="0" w:afterAutospacing="0" w:line="240" w:lineRule="auto"/>
        <w:shd w:val="clear" w:color="auto" w:fill="ffffff"/>
      </w:pP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сам собственник, его супруг, суды,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 правоохранительные органы, судебные приставы-исполнители, органы прокуратуры, арбитражные управляющие, кадастровые инженеры,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 нотариусы, наследники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 органы власти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 и другие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 лица, указанные в статье 62 Федерального закона «О государственной регистрации недвижимости».</w:t>
      </w:r>
      <w:bookmarkStart w:id="0" w:name="undefined"/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r>
      <w:bookmarkEnd w:id="0"/>
      <w:r/>
      <w:r/>
    </w:p>
    <w:p>
      <w:pPr>
        <w:pStyle w:val="1_734"/>
        <w:ind w:left="0" w:right="0" w:firstLine="567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Cs w:val="0"/>
          <w:i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К ним относятся, в том числе:</w:t>
      </w:r>
      <w:r>
        <w:rPr>
          <w:rFonts w:ascii="Times New Roman" w:hAnsi="Times New Roman" w:eastAsia="Times New Roman" w:cs="Times New Roman"/>
          <w:bCs w:val="0"/>
          <w:i w:val="0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color w:val="0f1115"/>
          <w:sz w:val="28"/>
          <w:szCs w:val="28"/>
          <w:highlight w:val="none"/>
        </w:rPr>
      </w:r>
    </w:p>
    <w:p>
      <w:pPr>
        <w:pStyle w:val="1_734"/>
        <w:numPr>
          <w:ilvl w:val="0"/>
          <w:numId w:val="17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 правах отдельного лица на имевшиеся (имеющиеся) у него объекты недвижимости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(показывает всю недвижимость конкретного человека).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7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 содержании правоустанавливающих документов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(содержит сведения о содержании договоров купли-продажи, дарения и т.д., на основании которых возникло право).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7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 признании правообладателя </w:t>
      </w: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недееспособным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7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Выписка о дате получения органом регистрации прав заявления о кадастровом учете/регистрации прав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(это служебная информация о процессе регистрации, которая не является общедоступной и имеет значение для подтверждения момента подачи документов в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Росреестр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7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Справка о лицах, получивших сведения об объекте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(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по запросу собственника, чтобы узнать, кто интересовался его недвижимостью).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r>
    </w:p>
    <w:p>
      <w:pPr>
        <w:pStyle w:val="1_734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r>
      <w:r>
        <w:rPr>
          <w:rFonts w:ascii="Times New Roman" w:hAnsi="Times New Roman" w:cs="Times New Roman"/>
          <w:bCs w:val="0"/>
          <w:i w:val="0"/>
          <w:color w:val="0f1115"/>
          <w:sz w:val="28"/>
          <w:szCs w:val="28"/>
        </w:rPr>
      </w:r>
    </w:p>
    <w:p>
      <w:pPr>
        <w:pStyle w:val="871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Как 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можно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 получить информацию</w:t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8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Портал </w:t>
      </w: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Госуслуги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— самый удобный способ. Собственник может получить онлайн-выписку за минуту бесплатно. Иное лицо может запросить основную информацию о недвижимости без указания персональных данных собственников.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8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</w:pP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Сайт </w:t>
      </w: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Росреестра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— раздел «Публичная кадастровая карта» (можно быстро проверить основные характеристики бесплатно) и сервис «Предоставление сведений ЕГРН» (платно).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</w:p>
    <w:p>
      <w:pPr>
        <w:pStyle w:val="1_734"/>
        <w:numPr>
          <w:ilvl w:val="0"/>
          <w:numId w:val="18"/>
        </w:numPr>
        <w:ind w:left="0"/>
        <w:jc w:val="both"/>
        <w:spacing w:before="0" w:beforeAutospacing="0" w:after="0" w:afterAutospacing="0" w:line="240" w:lineRule="auto"/>
        <w:shd w:val="clear" w:color="auto" w:fill="ffffff"/>
        <w:rPr>
          <w:rFonts w:ascii="Times New Roman" w:hAnsi="Times New Roman" w:cs="Times New Roman"/>
          <w:b w:val="0"/>
          <w:bCs w:val="0"/>
          <w:i w:val="0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>
        <w:rPr>
          <w:rStyle w:val="891"/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В МФЦ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i w:val="0"/>
          <w:iCs w:val="0"/>
          <w:color w:val="0f1115"/>
          <w:sz w:val="28"/>
          <w:szCs w:val="28"/>
        </w:rPr>
        <w:t xml:space="preserve">— можно заказать бумажную выписку, заверенную печатью.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f1115"/>
          <w:sz w:val="28"/>
          <w:szCs w:val="28"/>
        </w:rPr>
      </w:r>
      <w:r/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5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5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5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75"/>
    <w:link w:val="870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75"/>
    <w:link w:val="871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75"/>
    <w:link w:val="872"/>
    <w:uiPriority w:val="9"/>
    <w:rPr>
      <w:rFonts w:ascii="Arial" w:hAnsi="Arial" w:eastAsia="Arial" w:cs="Arial"/>
      <w:sz w:val="30"/>
      <w:szCs w:val="30"/>
    </w:rPr>
  </w:style>
  <w:style w:type="character" w:styleId="716">
    <w:name w:val="Heading 4 Char"/>
    <w:basedOn w:val="875"/>
    <w:link w:val="873"/>
    <w:uiPriority w:val="9"/>
    <w:rPr>
      <w:rFonts w:ascii="Arial" w:hAnsi="Arial" w:eastAsia="Arial" w:cs="Arial"/>
      <w:b/>
      <w:bCs/>
      <w:sz w:val="26"/>
      <w:szCs w:val="26"/>
    </w:rPr>
  </w:style>
  <w:style w:type="character" w:styleId="717">
    <w:name w:val="Heading 5 Char"/>
    <w:basedOn w:val="875"/>
    <w:link w:val="874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69"/>
    <w:next w:val="869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75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69"/>
    <w:next w:val="869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75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69"/>
    <w:next w:val="869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75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69"/>
    <w:next w:val="869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7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>
    <w:name w:val="Title Char"/>
    <w:basedOn w:val="875"/>
    <w:link w:val="931"/>
    <w:uiPriority w:val="10"/>
    <w:rPr>
      <w:sz w:val="48"/>
      <w:szCs w:val="48"/>
    </w:rPr>
  </w:style>
  <w:style w:type="character" w:styleId="727">
    <w:name w:val="Subtitle Char"/>
    <w:basedOn w:val="875"/>
    <w:link w:val="927"/>
    <w:uiPriority w:val="11"/>
    <w:rPr>
      <w:sz w:val="24"/>
      <w:szCs w:val="24"/>
    </w:rPr>
  </w:style>
  <w:style w:type="paragraph" w:styleId="728">
    <w:name w:val="Quote"/>
    <w:basedOn w:val="869"/>
    <w:next w:val="869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69"/>
    <w:next w:val="869"/>
    <w:link w:val="73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75"/>
    <w:link w:val="912"/>
    <w:uiPriority w:val="99"/>
  </w:style>
  <w:style w:type="character" w:styleId="733">
    <w:name w:val="Footer Char"/>
    <w:basedOn w:val="875"/>
    <w:link w:val="937"/>
    <w:uiPriority w:val="99"/>
  </w:style>
  <w:style w:type="paragraph" w:styleId="734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937"/>
    <w:uiPriority w:val="99"/>
  </w:style>
  <w:style w:type="table" w:styleId="736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2">
    <w:name w:val="footnote text"/>
    <w:basedOn w:val="86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paragraph" w:styleId="864">
    <w:name w:val="endnote text"/>
    <w:basedOn w:val="869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5"/>
    <w:uiPriority w:val="99"/>
    <w:semiHidden/>
    <w:unhideWhenUsed/>
    <w:rPr>
      <w:vertAlign w:val="superscript"/>
    </w:r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link w:val="878"/>
    <w:qFormat/>
    <w:rPr>
      <w:rFonts w:ascii="Times New Roman" w:hAnsi="Times New Roman"/>
      <w:sz w:val="24"/>
    </w:rPr>
  </w:style>
  <w:style w:type="paragraph" w:styleId="870">
    <w:name w:val="Heading 1"/>
    <w:basedOn w:val="869"/>
    <w:link w:val="90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1">
    <w:name w:val="Heading 2"/>
    <w:next w:val="869"/>
    <w:link w:val="934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72">
    <w:name w:val="Heading 3"/>
    <w:next w:val="869"/>
    <w:link w:val="887"/>
    <w:uiPriority w:val="9"/>
    <w:qFormat/>
    <w:pPr>
      <w:outlineLvl w:val="2"/>
    </w:pPr>
    <w:rPr>
      <w:rFonts w:ascii="XO Thames" w:hAnsi="XO Thames"/>
      <w:b/>
      <w:i/>
    </w:rPr>
  </w:style>
  <w:style w:type="paragraph" w:styleId="873">
    <w:name w:val="Heading 4"/>
    <w:next w:val="869"/>
    <w:link w:val="933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4">
    <w:name w:val="Heading 5"/>
    <w:next w:val="869"/>
    <w:link w:val="90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character" w:styleId="878" w:customStyle="1">
    <w:name w:val="Обычный1"/>
    <w:rPr>
      <w:rFonts w:ascii="Times New Roman" w:hAnsi="Times New Roman"/>
      <w:sz w:val="24"/>
    </w:rPr>
  </w:style>
  <w:style w:type="paragraph" w:styleId="879">
    <w:name w:val="toc 2"/>
    <w:next w:val="869"/>
    <w:link w:val="880"/>
    <w:uiPriority w:val="39"/>
    <w:pPr>
      <w:ind w:left="200"/>
    </w:pPr>
  </w:style>
  <w:style w:type="character" w:styleId="880" w:customStyle="1">
    <w:name w:val="Оглавление 2 Знак"/>
    <w:link w:val="879"/>
  </w:style>
  <w:style w:type="paragraph" w:styleId="881">
    <w:name w:val="toc 4"/>
    <w:next w:val="869"/>
    <w:link w:val="882"/>
    <w:uiPriority w:val="39"/>
    <w:pPr>
      <w:ind w:left="600"/>
    </w:pPr>
  </w:style>
  <w:style w:type="character" w:styleId="882" w:customStyle="1">
    <w:name w:val="Оглавление 4 Знак"/>
    <w:link w:val="881"/>
  </w:style>
  <w:style w:type="paragraph" w:styleId="883">
    <w:name w:val="toc 6"/>
    <w:next w:val="869"/>
    <w:link w:val="884"/>
    <w:uiPriority w:val="39"/>
    <w:pPr>
      <w:ind w:left="1000"/>
    </w:pPr>
  </w:style>
  <w:style w:type="character" w:styleId="884" w:customStyle="1">
    <w:name w:val="Оглавление 6 Знак"/>
    <w:link w:val="883"/>
  </w:style>
  <w:style w:type="paragraph" w:styleId="885">
    <w:name w:val="toc 7"/>
    <w:next w:val="869"/>
    <w:link w:val="886"/>
    <w:uiPriority w:val="39"/>
    <w:pPr>
      <w:ind w:left="1200"/>
    </w:pPr>
  </w:style>
  <w:style w:type="character" w:styleId="886" w:customStyle="1">
    <w:name w:val="Оглавление 7 Знак"/>
    <w:link w:val="885"/>
  </w:style>
  <w:style w:type="character" w:styleId="887" w:customStyle="1">
    <w:name w:val="Заголовок 3 Знак"/>
    <w:link w:val="872"/>
    <w:rPr>
      <w:rFonts w:ascii="XO Thames" w:hAnsi="XO Thames"/>
      <w:b/>
      <w:i/>
      <w:color w:val="000000"/>
    </w:rPr>
  </w:style>
  <w:style w:type="paragraph" w:styleId="888" w:customStyle="1">
    <w:name w:val="article_decoration_first"/>
    <w:basedOn w:val="869"/>
    <w:link w:val="889"/>
    <w:pPr>
      <w:spacing w:beforeAutospacing="1" w:afterAutospacing="1"/>
    </w:pPr>
  </w:style>
  <w:style w:type="character" w:styleId="889" w:customStyle="1">
    <w:name w:val="article_decoration_first"/>
    <w:basedOn w:val="878"/>
    <w:link w:val="888"/>
    <w:rPr>
      <w:rFonts w:ascii="Times New Roman" w:hAnsi="Times New Roman"/>
      <w:sz w:val="24"/>
    </w:rPr>
  </w:style>
  <w:style w:type="paragraph" w:styleId="890" w:customStyle="1">
    <w:name w:val="Строгий1"/>
    <w:basedOn w:val="920"/>
    <w:link w:val="891"/>
    <w:rPr>
      <w:b/>
    </w:rPr>
  </w:style>
  <w:style w:type="character" w:styleId="891">
    <w:name w:val="Strong"/>
    <w:basedOn w:val="875"/>
    <w:link w:val="890"/>
    <w:rPr>
      <w:b/>
    </w:rPr>
  </w:style>
  <w:style w:type="paragraph" w:styleId="892">
    <w:name w:val="Balloon Text"/>
    <w:basedOn w:val="869"/>
    <w:link w:val="893"/>
    <w:rPr>
      <w:rFonts w:ascii="Tahoma" w:hAnsi="Tahoma"/>
      <w:sz w:val="16"/>
    </w:rPr>
  </w:style>
  <w:style w:type="character" w:styleId="893" w:customStyle="1">
    <w:name w:val="Текст выноски Знак"/>
    <w:basedOn w:val="878"/>
    <w:link w:val="892"/>
    <w:rPr>
      <w:rFonts w:ascii="Tahoma" w:hAnsi="Tahoma"/>
      <w:sz w:val="16"/>
    </w:rPr>
  </w:style>
  <w:style w:type="paragraph" w:styleId="894" w:customStyle="1">
    <w:name w:val="ConsPlusNormal"/>
    <w:link w:val="895"/>
    <w:pPr>
      <w:ind w:firstLine="720"/>
    </w:pPr>
    <w:rPr>
      <w:rFonts w:ascii="Arial" w:hAnsi="Arial"/>
    </w:rPr>
  </w:style>
  <w:style w:type="character" w:styleId="895" w:customStyle="1">
    <w:name w:val="ConsPlusNormal"/>
    <w:link w:val="894"/>
    <w:rPr>
      <w:rFonts w:ascii="Arial" w:hAnsi="Arial"/>
    </w:rPr>
  </w:style>
  <w:style w:type="paragraph" w:styleId="896">
    <w:name w:val="toc 3"/>
    <w:next w:val="869"/>
    <w:link w:val="897"/>
    <w:uiPriority w:val="39"/>
    <w:pPr>
      <w:ind w:left="400"/>
    </w:pPr>
  </w:style>
  <w:style w:type="character" w:styleId="897" w:customStyle="1">
    <w:name w:val="Оглавление 3 Знак"/>
    <w:link w:val="896"/>
  </w:style>
  <w:style w:type="paragraph" w:styleId="898" w:customStyle="1">
    <w:name w:val="Просмотренная гиперссылка1"/>
    <w:basedOn w:val="920"/>
    <w:link w:val="899"/>
    <w:rPr>
      <w:color w:val="800080"/>
      <w:u w:val="single"/>
    </w:rPr>
  </w:style>
  <w:style w:type="character" w:styleId="899">
    <w:name w:val="FollowedHyperlink"/>
    <w:basedOn w:val="875"/>
    <w:link w:val="898"/>
    <w:rPr>
      <w:color w:val="800080"/>
      <w:u w:val="single"/>
    </w:rPr>
  </w:style>
  <w:style w:type="character" w:styleId="900" w:customStyle="1">
    <w:name w:val="Заголовок 5 Знак"/>
    <w:link w:val="874"/>
    <w:rPr>
      <w:rFonts w:ascii="XO Thames" w:hAnsi="XO Thames"/>
      <w:b/>
      <w:color w:val="000000"/>
      <w:sz w:val="22"/>
    </w:rPr>
  </w:style>
  <w:style w:type="character" w:styleId="901" w:customStyle="1">
    <w:name w:val="Заголовок 1 Знак"/>
    <w:basedOn w:val="878"/>
    <w:link w:val="870"/>
    <w:rPr>
      <w:rFonts w:ascii="Times New Roman" w:hAnsi="Times New Roman"/>
      <w:b/>
      <w:sz w:val="48"/>
    </w:rPr>
  </w:style>
  <w:style w:type="paragraph" w:styleId="902">
    <w:name w:val="No Spacing"/>
    <w:link w:val="903"/>
    <w:uiPriority w:val="1"/>
    <w:qFormat/>
    <w:rPr>
      <w:sz w:val="22"/>
    </w:rPr>
  </w:style>
  <w:style w:type="character" w:styleId="903" w:customStyle="1">
    <w:name w:val="Без интервала Знак"/>
    <w:link w:val="902"/>
    <w:uiPriority w:val="1"/>
    <w:rPr>
      <w:sz w:val="22"/>
    </w:rPr>
  </w:style>
  <w:style w:type="paragraph" w:styleId="904" w:customStyle="1">
    <w:name w:val="Гиперссылка1"/>
    <w:link w:val="905"/>
    <w:rPr>
      <w:color w:val="0000ff"/>
      <w:u w:val="single"/>
    </w:rPr>
  </w:style>
  <w:style w:type="character" w:styleId="905">
    <w:name w:val="Hyperlink"/>
    <w:link w:val="904"/>
    <w:uiPriority w:val="99"/>
    <w:rPr>
      <w:color w:val="0000ff"/>
      <w:u w:val="single"/>
    </w:rPr>
  </w:style>
  <w:style w:type="paragraph" w:styleId="906" w:customStyle="1">
    <w:name w:val="Footnote"/>
    <w:basedOn w:val="869"/>
    <w:link w:val="907"/>
    <w:rPr>
      <w:sz w:val="20"/>
    </w:rPr>
  </w:style>
  <w:style w:type="character" w:styleId="907" w:customStyle="1">
    <w:name w:val="Footnote"/>
    <w:basedOn w:val="878"/>
    <w:link w:val="906"/>
    <w:rPr>
      <w:rFonts w:ascii="Times New Roman" w:hAnsi="Times New Roman"/>
      <w:sz w:val="20"/>
    </w:rPr>
  </w:style>
  <w:style w:type="paragraph" w:styleId="908">
    <w:name w:val="toc 1"/>
    <w:next w:val="869"/>
    <w:link w:val="909"/>
    <w:uiPriority w:val="39"/>
    <w:rPr>
      <w:rFonts w:ascii="XO Thames" w:hAnsi="XO Thames"/>
      <w:b/>
    </w:rPr>
  </w:style>
  <w:style w:type="character" w:styleId="909" w:customStyle="1">
    <w:name w:val="Оглавление 1 Знак"/>
    <w:link w:val="908"/>
    <w:rPr>
      <w:rFonts w:ascii="XO Thames" w:hAnsi="XO Thames"/>
      <w:b/>
    </w:rPr>
  </w:style>
  <w:style w:type="paragraph" w:styleId="910" w:customStyle="1">
    <w:name w:val="Header and Footer"/>
    <w:link w:val="911"/>
    <w:pPr>
      <w:spacing w:line="360" w:lineRule="auto"/>
    </w:pPr>
    <w:rPr>
      <w:rFonts w:ascii="XO Thames" w:hAnsi="XO Thames"/>
    </w:rPr>
  </w:style>
  <w:style w:type="character" w:styleId="911" w:customStyle="1">
    <w:name w:val="Header and Footer"/>
    <w:link w:val="910"/>
    <w:rPr>
      <w:rFonts w:ascii="XO Thames" w:hAnsi="XO Thames"/>
      <w:sz w:val="20"/>
    </w:rPr>
  </w:style>
  <w:style w:type="paragraph" w:styleId="912">
    <w:name w:val="Header"/>
    <w:basedOn w:val="869"/>
    <w:link w:val="913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13" w:customStyle="1">
    <w:name w:val="Верхний колонтитул Знак"/>
    <w:basedOn w:val="878"/>
    <w:link w:val="912"/>
    <w:rPr>
      <w:rFonts w:ascii="Calibri" w:hAnsi="Calibri"/>
      <w:sz w:val="22"/>
    </w:rPr>
  </w:style>
  <w:style w:type="paragraph" w:styleId="914">
    <w:name w:val="toc 9"/>
    <w:next w:val="869"/>
    <w:link w:val="915"/>
    <w:uiPriority w:val="39"/>
    <w:pPr>
      <w:ind w:left="1600"/>
    </w:pPr>
  </w:style>
  <w:style w:type="character" w:styleId="915" w:customStyle="1">
    <w:name w:val="Оглавление 9 Знак"/>
    <w:link w:val="914"/>
  </w:style>
  <w:style w:type="paragraph" w:styleId="916">
    <w:name w:val="Normal (Web)"/>
    <w:basedOn w:val="869"/>
    <w:link w:val="917"/>
    <w:uiPriority w:val="99"/>
    <w:pPr>
      <w:spacing w:beforeAutospacing="1" w:afterAutospacing="1"/>
    </w:pPr>
  </w:style>
  <w:style w:type="character" w:styleId="917" w:customStyle="1">
    <w:name w:val="Обычный (веб) Знак"/>
    <w:basedOn w:val="878"/>
    <w:link w:val="916"/>
    <w:uiPriority w:val="99"/>
    <w:rPr>
      <w:rFonts w:ascii="Times New Roman" w:hAnsi="Times New Roman"/>
      <w:sz w:val="24"/>
    </w:rPr>
  </w:style>
  <w:style w:type="paragraph" w:styleId="918">
    <w:name w:val="toc 8"/>
    <w:next w:val="869"/>
    <w:link w:val="919"/>
    <w:uiPriority w:val="39"/>
    <w:pPr>
      <w:ind w:left="1400"/>
    </w:pPr>
  </w:style>
  <w:style w:type="character" w:styleId="919" w:customStyle="1">
    <w:name w:val="Оглавление 8 Знак"/>
    <w:link w:val="918"/>
  </w:style>
  <w:style w:type="paragraph" w:styleId="920" w:customStyle="1">
    <w:name w:val="Основной шрифт абзаца1"/>
  </w:style>
  <w:style w:type="paragraph" w:styleId="921">
    <w:name w:val="List Paragraph"/>
    <w:basedOn w:val="869"/>
    <w:link w:val="922"/>
    <w:uiPriority w:val="34"/>
    <w:qFormat/>
    <w:pPr>
      <w:contextualSpacing/>
      <w:ind w:left="720"/>
    </w:pPr>
  </w:style>
  <w:style w:type="character" w:styleId="922" w:customStyle="1">
    <w:name w:val="Абзац списка Знак"/>
    <w:basedOn w:val="878"/>
    <w:link w:val="921"/>
    <w:rPr>
      <w:rFonts w:ascii="Times New Roman" w:hAnsi="Times New Roman"/>
      <w:sz w:val="24"/>
    </w:rPr>
  </w:style>
  <w:style w:type="paragraph" w:styleId="923">
    <w:name w:val="toc 5"/>
    <w:next w:val="869"/>
    <w:link w:val="924"/>
    <w:uiPriority w:val="39"/>
    <w:pPr>
      <w:ind w:left="800"/>
    </w:pPr>
  </w:style>
  <w:style w:type="character" w:styleId="924" w:customStyle="1">
    <w:name w:val="Оглавление 5 Знак"/>
    <w:link w:val="923"/>
  </w:style>
  <w:style w:type="paragraph" w:styleId="925">
    <w:name w:val="Plain Text"/>
    <w:basedOn w:val="869"/>
    <w:link w:val="926"/>
    <w:uiPriority w:val="99"/>
    <w:rPr>
      <w:rFonts w:ascii="Consolas" w:hAnsi="Consolas"/>
      <w:sz w:val="21"/>
    </w:rPr>
  </w:style>
  <w:style w:type="character" w:styleId="926" w:customStyle="1">
    <w:name w:val="Текст Знак"/>
    <w:basedOn w:val="878"/>
    <w:link w:val="925"/>
    <w:uiPriority w:val="99"/>
    <w:rPr>
      <w:rFonts w:ascii="Consolas" w:hAnsi="Consolas"/>
      <w:sz w:val="21"/>
    </w:rPr>
  </w:style>
  <w:style w:type="paragraph" w:styleId="927">
    <w:name w:val="Subtitle"/>
    <w:next w:val="869"/>
    <w:link w:val="928"/>
    <w:uiPriority w:val="11"/>
    <w:qFormat/>
    <w:rPr>
      <w:rFonts w:ascii="XO Thames" w:hAnsi="XO Thames"/>
      <w:i/>
      <w:color w:val="616161"/>
      <w:sz w:val="24"/>
    </w:rPr>
  </w:style>
  <w:style w:type="character" w:styleId="928" w:customStyle="1">
    <w:name w:val="Подзаголовок Знак"/>
    <w:link w:val="927"/>
    <w:rPr>
      <w:rFonts w:ascii="XO Thames" w:hAnsi="XO Thames"/>
      <w:i/>
      <w:color w:val="616161"/>
      <w:sz w:val="24"/>
    </w:rPr>
  </w:style>
  <w:style w:type="paragraph" w:styleId="929" w:customStyle="1">
    <w:name w:val="toc 10"/>
    <w:next w:val="869"/>
    <w:link w:val="930"/>
    <w:uiPriority w:val="39"/>
    <w:pPr>
      <w:ind w:left="1800"/>
    </w:pPr>
  </w:style>
  <w:style w:type="character" w:styleId="930" w:customStyle="1">
    <w:name w:val="toc 10"/>
    <w:link w:val="929"/>
  </w:style>
  <w:style w:type="paragraph" w:styleId="931">
    <w:name w:val="Title"/>
    <w:next w:val="869"/>
    <w:link w:val="932"/>
    <w:uiPriority w:val="10"/>
    <w:qFormat/>
    <w:rPr>
      <w:rFonts w:ascii="XO Thames" w:hAnsi="XO Thames"/>
      <w:b/>
      <w:sz w:val="52"/>
    </w:rPr>
  </w:style>
  <w:style w:type="character" w:styleId="932" w:customStyle="1">
    <w:name w:val="Название Знак"/>
    <w:link w:val="931"/>
    <w:rPr>
      <w:rFonts w:ascii="XO Thames" w:hAnsi="XO Thames"/>
      <w:b/>
      <w:sz w:val="52"/>
    </w:rPr>
  </w:style>
  <w:style w:type="character" w:styleId="933" w:customStyle="1">
    <w:name w:val="Заголовок 4 Знак"/>
    <w:link w:val="873"/>
    <w:rPr>
      <w:rFonts w:ascii="XO Thames" w:hAnsi="XO Thames"/>
      <w:b/>
      <w:color w:val="595959"/>
      <w:sz w:val="26"/>
    </w:rPr>
  </w:style>
  <w:style w:type="character" w:styleId="934" w:customStyle="1">
    <w:name w:val="Заголовок 2 Знак"/>
    <w:link w:val="871"/>
    <w:rPr>
      <w:rFonts w:ascii="XO Thames" w:hAnsi="XO Thames"/>
      <w:b/>
      <w:color w:val="00a0ff"/>
      <w:sz w:val="26"/>
    </w:rPr>
  </w:style>
  <w:style w:type="paragraph" w:styleId="935" w:customStyle="1">
    <w:name w:val="Знак сноски1"/>
    <w:basedOn w:val="920"/>
    <w:link w:val="936"/>
    <w:rPr>
      <w:vertAlign w:val="superscript"/>
    </w:rPr>
  </w:style>
  <w:style w:type="character" w:styleId="936">
    <w:name w:val="footnote reference"/>
    <w:basedOn w:val="875"/>
    <w:link w:val="935"/>
    <w:rPr>
      <w:vertAlign w:val="superscript"/>
    </w:rPr>
  </w:style>
  <w:style w:type="paragraph" w:styleId="937">
    <w:name w:val="Footer"/>
    <w:basedOn w:val="869"/>
    <w:link w:val="938"/>
    <w:pPr>
      <w:tabs>
        <w:tab w:val="center" w:pos="4677" w:leader="none"/>
        <w:tab w:val="right" w:pos="9355" w:leader="none"/>
      </w:tabs>
    </w:pPr>
  </w:style>
  <w:style w:type="character" w:styleId="938" w:customStyle="1">
    <w:name w:val="Нижний колонтитул Знак"/>
    <w:basedOn w:val="878"/>
    <w:link w:val="937"/>
    <w:rPr>
      <w:rFonts w:ascii="Times New Roman" w:hAnsi="Times New Roman"/>
      <w:sz w:val="24"/>
    </w:rPr>
  </w:style>
  <w:style w:type="character" w:styleId="939" w:customStyle="1">
    <w:name w:val="Основной текст (2) + 11"/>
    <w:basedOn w:val="875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0" w:customStyle="1">
    <w:name w:val="Подпись к таблице"/>
    <w:basedOn w:val="875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1" w:customStyle="1">
    <w:name w:val="Font Style11"/>
    <w:basedOn w:val="875"/>
    <w:rPr>
      <w:rFonts w:hint="default" w:ascii="Times New Roman" w:hAnsi="Times New Roman" w:cs="Times New Roman"/>
      <w:sz w:val="24"/>
      <w:szCs w:val="24"/>
    </w:rPr>
  </w:style>
  <w:style w:type="character" w:styleId="942" w:customStyle="1">
    <w:name w:val="Основной текст_"/>
    <w:basedOn w:val="875"/>
    <w:link w:val="943"/>
    <w:rPr>
      <w:rFonts w:ascii="Times New Roman" w:hAnsi="Times New Roman"/>
      <w:sz w:val="27"/>
      <w:szCs w:val="27"/>
      <w:shd w:val="clear" w:color="auto" w:fill="ffffff"/>
    </w:rPr>
  </w:style>
  <w:style w:type="paragraph" w:styleId="943" w:customStyle="1">
    <w:name w:val="Основной текст1"/>
    <w:basedOn w:val="869"/>
    <w:link w:val="942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4">
    <w:name w:val="Emphasis"/>
    <w:basedOn w:val="875"/>
    <w:uiPriority w:val="20"/>
    <w:qFormat/>
    <w:rPr>
      <w:i/>
      <w:iCs/>
    </w:rPr>
  </w:style>
  <w:style w:type="paragraph" w:styleId="945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6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734" w:customStyle="1">
    <w:name w:val="ds-markdown-paragraph"/>
    <w:basedOn w:val="719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22</cp:revision>
  <dcterms:created xsi:type="dcterms:W3CDTF">2024-07-05T06:34:00Z</dcterms:created>
  <dcterms:modified xsi:type="dcterms:W3CDTF">2026-06-01T07:10:49Z</dcterms:modified>
</cp:coreProperties>
</file>