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52"/>
          <w:szCs w:val="52"/>
        </w:rPr>
      </w:pPr>
      <w:bookmarkStart w:id="0" w:name="__DdeLink__71_233735063"/>
      <w: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-851535</wp:posOffset>
            </wp:positionH>
            <wp:positionV relativeFrom="paragraph">
              <wp:posOffset>-539115</wp:posOffset>
            </wp:positionV>
            <wp:extent cx="3265170" cy="2114550"/>
            <wp:effectExtent l="0" t="0" r="0" b="0"/>
            <wp:wrapTight wrapText="bothSides">
              <wp:wrapPolygon edited="0">
                <wp:start x="-81" y="0"/>
                <wp:lineTo x="-81" y="21291"/>
                <wp:lineTo x="21355" y="21291"/>
                <wp:lineTo x="21355" y="0"/>
                <wp:lineTo x="-81" y="0"/>
              </wp:wrapPolygon>
            </wp:wrapTight>
            <wp:docPr id="1" name="Рисунок 3" descr="Ивня | ОБУЧЕНИЕ ГРАЖДАН В РАМКАХ ФЕДЕРАЛЬНОГО ПРОЕКТА &quot;СОДЕЙСТВИЕ  ЗАНЯТОСТИ&quot; НАЦИОНАЛЬНОГО ПРОЕКТА «ДЕМОГРАФИЯ» - БезФорма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Ивня | ОБУЧЕНИЕ ГРАЖДАН В РАМКАХ ФЕДЕРАЛЬНОГО ПРОЕКТА &quot;СОДЕЙСТВИЕ  ЗАНЯТОСТИ&quot; НАЦИОНАЛЬНОГО ПРОЕКТА «ДЕМОГРАФИЯ» - БезФормата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517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color w:val="FF0000"/>
          <w:sz w:val="52"/>
          <w:szCs w:val="52"/>
        </w:rPr>
        <w:t>В</w:t>
      </w:r>
      <w:r>
        <w:rPr>
          <w:rFonts w:cs="Times New Roman" w:ascii="Times New Roman" w:hAnsi="Times New Roman"/>
          <w:b/>
          <w:color w:val="FF0000"/>
          <w:sz w:val="52"/>
          <w:szCs w:val="52"/>
        </w:rPr>
        <w:t>нимание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  <w:sz w:val="52"/>
          <w:szCs w:val="52"/>
        </w:rPr>
      </w:pPr>
      <w:r>
        <w:rPr>
          <w:rFonts w:cs="Times New Roman" w:ascii="Times New Roman" w:hAnsi="Times New Roman"/>
          <w:b/>
          <w:color w:val="FF0000"/>
          <w:sz w:val="52"/>
          <w:szCs w:val="52"/>
        </w:rPr>
        <w:t>граждан!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color w:val="FF0000"/>
        </w:rPr>
      </w:pPr>
      <w:r>
        <w:rPr>
          <w:rFonts w:cs="Times New Roman" w:ascii="Times New Roman" w:hAnsi="Times New Roman"/>
          <w:b/>
          <w:color w:val="FF0000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АЗН г.Петрозаводска  (межрайонное)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bookmarkEnd w:id="0"/>
      <w:r>
        <w:rPr>
          <w:rFonts w:cs="Times New Roman" w:ascii="Times New Roman" w:hAnsi="Times New Roman"/>
          <w:b/>
          <w:color w:val="FF0000"/>
          <w:sz w:val="28"/>
          <w:szCs w:val="28"/>
        </w:rPr>
        <w:t>производит набор на обучение граждан по направлениям: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ПОВАРСКОЕ ДЕЛО 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КУЗОВНОЙ РЕМОНТ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СВАРОЧНЫЕ ТЕХНОЛОГИИ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АДМИНИСТРИРОВАНИЕ ОТЕЛЯ</w:t>
      </w:r>
    </w:p>
    <w:p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ПРЕДПРИНИМАТЕЛЬСТВО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outlineLvl w:val="2"/>
        <w:rPr>
          <w:rFonts w:ascii="Helvetica" w:hAnsi="Helvetica" w:eastAsia="Times New Roman" w:cs="Helvetica"/>
          <w:b/>
          <w:b/>
          <w:bCs/>
          <w:color w:val="FF0000"/>
          <w:spacing w:val="3"/>
          <w:sz w:val="30"/>
          <w:szCs w:val="30"/>
          <w:lang w:eastAsia="ru-RU"/>
        </w:rPr>
      </w:pPr>
      <w:r>
        <w:rPr>
          <w:rFonts w:eastAsia="Times New Roman" w:cs="Helvetica" w:ascii="Helvetica" w:hAnsi="Helvetica"/>
          <w:b/>
          <w:bCs/>
          <w:color w:val="FF0000"/>
          <w:spacing w:val="3"/>
          <w:sz w:val="30"/>
          <w:szCs w:val="30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tLeast" w:line="240" w:before="0" w:after="0"/>
        <w:outlineLvl w:val="2"/>
        <w:rPr>
          <w:rFonts w:ascii="Helvetica" w:hAnsi="Helvetica" w:eastAsia="Times New Roman" w:cs="Helvetica"/>
          <w:b/>
          <w:b/>
          <w:bCs/>
          <w:color w:val="FF0000"/>
          <w:spacing w:val="3"/>
          <w:sz w:val="30"/>
          <w:szCs w:val="30"/>
          <w:lang w:eastAsia="ru-RU"/>
        </w:rPr>
      </w:pPr>
      <w:r>
        <w:rPr>
          <w:rFonts w:eastAsia="Times New Roman" w:cs="Helvetica" w:ascii="Helvetica" w:hAnsi="Helvetica"/>
          <w:b/>
          <w:bCs/>
          <w:color w:val="FF0000"/>
          <w:spacing w:val="3"/>
          <w:sz w:val="30"/>
          <w:szCs w:val="30"/>
          <w:lang w:eastAsia="ru-RU"/>
        </w:rPr>
        <w:t>Кто может подать заявление на обучение?</w:t>
      </w:r>
    </w:p>
    <w:p>
      <w:pPr>
        <w:pStyle w:val="ListParagraph"/>
        <w:numPr>
          <w:ilvl w:val="0"/>
          <w:numId w:val="3"/>
        </w:numPr>
        <w:shd w:val="clear" w:color="auto" w:fill="FFFFFF"/>
        <w:spacing w:lineRule="atLeast" w:line="240"/>
        <w:rPr>
          <w:rFonts w:ascii="Helvetica" w:hAnsi="Helvetica" w:eastAsia="Times New Roman" w:cs="Helvetica"/>
          <w:b/>
          <w:b/>
          <w:bCs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Граждане в возрасте 50 лет и старше, граждане предпенси</w:t>
      </w:r>
      <w:bookmarkStart w:id="1" w:name="_GoBack"/>
      <w:bookmarkEnd w:id="1"/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онного возраста</w:t>
      </w:r>
    </w:p>
    <w:p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eastAsia="Times New Roman" w:cs="Helvetica"/>
          <w:b/>
          <w:b/>
          <w:bCs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Женщины, находящиеся в отпуске по уходу за ребенком до достижения им возраста 1,5 лет и в возрасте от 1,5 до 3 лет</w:t>
      </w:r>
    </w:p>
    <w:p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eastAsia="Times New Roman" w:cs="Helvetica"/>
          <w:b/>
          <w:b/>
          <w:bCs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Женщины, не состоящие в трудовых отношениях и имеющие детей дошкольного возраста в возрасте от 0 до 7 лет включительно;</w:t>
      </w:r>
    </w:p>
    <w:p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eastAsia="Times New Roman" w:cs="Helvetica"/>
          <w:b/>
          <w:b/>
          <w:bCs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Безработные граждане, зарегистрированные в органах службы занятости</w:t>
      </w:r>
    </w:p>
    <w:p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eastAsia="Times New Roman" w:cs="Helvetica"/>
          <w:b/>
          <w:b/>
          <w:bCs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Работники, находящиеся под риском увольнения, включая введение режима неполного рабочего времени, простой, временную приостановку работ, предоставление отпусков без сохранения заработной платы, проведение мероприятий по высвобождению работников</w:t>
      </w:r>
    </w:p>
    <w:p>
      <w:pPr>
        <w:pStyle w:val="ListParagraph"/>
        <w:numPr>
          <w:ilvl w:val="0"/>
          <w:numId w:val="3"/>
        </w:numPr>
        <w:shd w:val="clear" w:color="auto" w:fill="FFFFFF"/>
        <w:rPr>
          <w:rFonts w:ascii="Helvetica" w:hAnsi="Helvetica" w:eastAsia="Times New Roman" w:cs="Helvetica"/>
          <w:b/>
          <w:b/>
          <w:bCs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b/>
          <w:bCs/>
          <w:color w:val="25282B"/>
          <w:sz w:val="24"/>
          <w:szCs w:val="24"/>
          <w:lang w:eastAsia="ru-RU"/>
        </w:rPr>
        <w:t>Граждане в возрасте до 35 лет, которые относятся к категориям: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60"/>
        <w:ind w:left="-225" w:hanging="360"/>
        <w:rPr>
          <w:rFonts w:ascii="Helvetica" w:hAnsi="Helvetica" w:eastAsia="Times New Roman" w:cs="Helvetica"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color w:val="25282B"/>
          <w:sz w:val="24"/>
          <w:szCs w:val="24"/>
          <w:lang w:eastAsia="ru-RU"/>
        </w:rPr>
        <w:t>граждан, не занятых по истечении 4 месяцев с даты окончания военной службы по призыву;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60"/>
        <w:ind w:left="-225" w:hanging="360"/>
        <w:rPr>
          <w:rFonts w:ascii="Helvetica" w:hAnsi="Helvetica" w:eastAsia="Times New Roman" w:cs="Helvetica"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color w:val="25282B"/>
          <w:sz w:val="24"/>
          <w:szCs w:val="24"/>
          <w:lang w:eastAsia="ru-RU"/>
        </w:rPr>
        <w:t>граждан, не имеющих среднего профессионального и высшего образования;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60"/>
        <w:ind w:left="-225" w:hanging="360"/>
        <w:rPr>
          <w:rFonts w:ascii="Helvetica" w:hAnsi="Helvetica" w:eastAsia="Times New Roman" w:cs="Helvetica"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color w:val="25282B"/>
          <w:sz w:val="24"/>
          <w:szCs w:val="24"/>
          <w:lang w:eastAsia="ru-RU"/>
        </w:rPr>
        <w:t>граждан, не занятых по истечении 4 месяцев с даты выдачи им документа об образовании и о квалификации;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="60"/>
        <w:ind w:left="-225" w:hanging="360"/>
        <w:rPr>
          <w:rFonts w:ascii="Helvetica" w:hAnsi="Helvetica" w:eastAsia="Times New Roman" w:cs="Helvetica"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color w:val="25282B"/>
          <w:sz w:val="24"/>
          <w:szCs w:val="24"/>
          <w:lang w:eastAsia="ru-RU"/>
        </w:rPr>
        <w:t>граждан, находящихся под риском увольнения (планируемых к увольнению в связи с ликвидацией организации либо сокращением штата или численности работников организации);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Autospacing="1" w:afterAutospacing="1"/>
        <w:ind w:left="-225" w:hanging="360"/>
        <w:rPr>
          <w:rFonts w:ascii="Helvetica" w:hAnsi="Helvetica" w:eastAsia="Times New Roman" w:cs="Helvetica"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color w:val="25282B"/>
          <w:sz w:val="24"/>
          <w:szCs w:val="24"/>
          <w:lang w:eastAsia="ru-RU"/>
        </w:rPr>
        <w:t>граждан, обучающихся на последних курсах по образовательным программам среднего профессионального или высшего образования, обратившихся в органы службы занятости, для которых отсутствует подходящая работа.</w:t>
      </w:r>
    </w:p>
    <w:p>
      <w:pPr>
        <w:pStyle w:val="Normal"/>
        <w:shd w:val="clear" w:color="auto" w:fill="FFFFFF"/>
        <w:spacing w:lineRule="auto" w:line="240" w:before="0" w:after="0"/>
        <w:ind w:left="-227" w:hanging="0"/>
        <w:jc w:val="center"/>
        <w:rPr>
          <w:rFonts w:ascii="Helvetica" w:hAnsi="Helvetica" w:eastAsia="Times New Roman" w:cs="Helvetica"/>
          <w:color w:val="25282B"/>
          <w:sz w:val="24"/>
          <w:szCs w:val="24"/>
          <w:lang w:eastAsia="ru-RU"/>
        </w:rPr>
      </w:pPr>
      <w:r>
        <w:rPr>
          <w:rFonts w:eastAsia="Times New Roman" w:cs="Helvetica" w:ascii="Helvetica" w:hAnsi="Helvetica"/>
          <w:color w:val="25282B"/>
          <w:sz w:val="24"/>
          <w:szCs w:val="24"/>
          <w:lang w:eastAsia="ru-RU"/>
        </w:rPr>
        <w:t xml:space="preserve">Записаться на обучение можно на ЕЦП «Работа России»:  </w:t>
      </w:r>
    </w:p>
    <w:p>
      <w:pPr>
        <w:pStyle w:val="Normal"/>
        <w:shd w:val="clear" w:color="auto" w:fill="FFFFFF"/>
        <w:spacing w:lineRule="auto" w:line="240" w:before="0" w:after="0"/>
        <w:ind w:left="-227" w:hanging="0"/>
        <w:jc w:val="center"/>
        <w:rPr/>
      </w:pPr>
      <w:hyperlink r:id="rId3">
        <w:r>
          <w:rPr>
            <w:rStyle w:val="Style17"/>
            <w:rFonts w:eastAsia="Times New Roman" w:cs="Helvetica" w:ascii="Helvetica" w:hAnsi="Helvetica"/>
            <w:b/>
            <w:sz w:val="24"/>
            <w:szCs w:val="24"/>
            <w:lang w:eastAsia="ru-RU"/>
          </w:rPr>
          <w:t>https://trudvsem.ru</w:t>
        </w:r>
      </w:hyperlink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Справки по телефонам: 59-28-89, 59-26-19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АЗН г.Петрозаводска (межрайонное) адресу: г.Петрозаводск ул. М.Мерецкова, д.14 каб. 203, 220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Helvetica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f15080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f15080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f15080"/>
    <w:rPr/>
  </w:style>
  <w:style w:type="character" w:styleId="Style17">
    <w:name w:val="Интернет-ссылка"/>
    <w:basedOn w:val="DefaultParagraphFont"/>
    <w:uiPriority w:val="99"/>
    <w:unhideWhenUsed/>
    <w:rsid w:val="00f479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f4793d"/>
    <w:rPr>
      <w:color w:val="800080" w:themeColor="followedHyperlink"/>
      <w:u w:val="single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ascii="Helvetica" w:hAnsi="Helvetica"/>
      <w:sz w:val="24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 Unicode MS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f15080"/>
    <w:pPr>
      <w:spacing w:lineRule="auto" w:line="240" w:before="0" w:after="0"/>
      <w:ind w:left="720" w:hanging="0"/>
    </w:pPr>
    <w:rPr>
      <w:rFonts w:ascii="Calibri" w:hAnsi="Calibri" w:cs="Calibri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508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3">
    <w:name w:val="Header"/>
    <w:basedOn w:val="Normal"/>
    <w:link w:val="a7"/>
    <w:uiPriority w:val="99"/>
    <w:unhideWhenUsed/>
    <w:rsid w:val="00f1508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4">
    <w:name w:val="Footer"/>
    <w:basedOn w:val="Normal"/>
    <w:link w:val="a9"/>
    <w:uiPriority w:val="99"/>
    <w:unhideWhenUsed/>
    <w:rsid w:val="00f15080"/>
    <w:pPr>
      <w:tabs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trudvsem.ru/information-pages/support-employment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LibreOffice/5.1.4.2$Windows_x86 LibreOffice_project/f99d75f39f1c57ebdd7ffc5f42867c12031db97a</Application>
  <Pages>2</Pages>
  <Words>244</Words>
  <Characters>1552</Characters>
  <CharactersWithSpaces>1762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2022-05-04T08:15:00Z</dcterms:created>
  <dc:creator>Воровская Елена Владимировна</dc:creator>
  <dc:description/>
  <dc:language>ru-RU</dc:language>
  <cp:lastModifiedBy>Воровская Елена Владимировна</cp:lastModifiedBy>
  <dcterms:modified xsi:type="dcterms:W3CDTF">2022-05-04T08:15:00Z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