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/>
      </w:pPr>
      <w:r>
        <w:rPr/>
      </w:r>
    </w:p>
    <w:tbl>
      <w:tblPr>
        <w:tblW w:w="954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13"/>
        <w:gridCol w:w="3926"/>
      </w:tblGrid>
      <w:tr>
        <w:trPr>
          <w:trHeight w:val="4253" w:hRule="atLeast"/>
        </w:trPr>
        <w:tc>
          <w:tcPr>
            <w:tcW w:w="56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object w:dxaOrig="636" w:dyaOrig="924">
                <v:shape id="ole_rId2" style="width:22.6pt;height:33.5pt" o:ole="">
                  <v:imagedata r:id="rId3" o:title=""/>
                </v:shape>
                <o:OLEObject Type="Embed" ProgID="PBrush" ShapeID="ole_rId2" DrawAspect="Content" ObjectID="_160326292" r:id="rId2"/>
              </w:objec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РЕСПУБЛИКА КАРЕЛИЯ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ПРИОНЕЖСКИЙ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/>
                <w:bCs/>
                <w:sz w:val="1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НОВОВИЛГОВСКОГО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 Центральная, д. 5, пос. Новая Вилга,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Прионежский район, Республика Карелия, 185506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тел. (8142) 786733,  факс (8142) 786830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"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admin</w:t>
              </w:r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vilga</w:t>
              </w:r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onego</w:t>
              </w:r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Style w:val="Style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сайт: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nova-vilga.ru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val="ru-RU"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31</w:t>
            </w:r>
            <w:r>
              <w:rPr>
                <w:rFonts w:eastAsia="Times New Roman" w:cs="Times New Roman" w:ascii="Times New Roman" w:hAnsi="Times New Roman"/>
                <w:sz w:val="20"/>
                <w:szCs w:val="24"/>
                <w:lang w:val="ru-RU" w:eastAsia="ru-RU"/>
              </w:rPr>
              <w:t>.07.2024 года</w:t>
            </w:r>
          </w:p>
        </w:tc>
        <w:tc>
          <w:tcPr>
            <w:tcW w:w="39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="0" w:after="75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ar-SA"/>
        </w:rPr>
        <w:t xml:space="preserve">информационное сообщение 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>В соответствии с пунктом 2 части 1 статьи 6 Федерального закона от 28 декабря 2009 года №381-ФЗ «Об основах государственного регулирования торговой деятельности в Российской Федерации», статьей 39.33 Земельного кодекса Российской Федерации,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 Приказ Министерства имущественных и земельных отношений</w:t>
        <w:tab/>
        <w:t xml:space="preserve"> Республики Карелия от 12.12.2023г. № 81/МИЗО-П «Об утверждении среднего 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 муниципальному району/округу (городскому округу) на территории Республики Карелия»,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</w:rPr>
        <w:t xml:space="preserve"> Порядком принятия решения на размещения нестационарных торговых объектов на территории Нововилговского сельского поселения, утвержденным Постановлением администрации Нововилговского сельского поселения от 09.11.2020г. №123, Администрация Нововилговского сельского поселения опубликовывает информацию о предоставлении решения на выдачу разрешения о размещении объекта, в связи с поступлением заявления № 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  <w:lang w:val="ru-RU" w:eastAsia="hi-IN" w:bidi="ar-SA"/>
        </w:rPr>
        <w:t>1041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</w:rPr>
        <w:t xml:space="preserve"> о предоставлении решения на выдачу разрешения о планируемом размещении нестационарного торгового объекта на территории Нововилговского сельского поселения по адресу: Республика Карелия, Прионежский район,                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  <w:lang w:val="ru-RU" w:eastAsia="hi-IN"/>
        </w:rPr>
        <w:t>п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</w:rPr>
        <w:t>. Новая Вилга, в границах земельного участка с кадастровым номером 10:20:0030112:181 (в соответствии со схемой расположения земельного участка на КПТ),  п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лощадь объекта: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hi-IN"/>
        </w:rPr>
        <w:t>12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 кв.м.  общая площадь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hi-IN"/>
        </w:rPr>
        <w:t>20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 кв.м., торговая площадь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hi-IN"/>
        </w:rPr>
        <w:t>12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 кв.м., наименование объекта: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en-US" w:bidi="ar-SA"/>
        </w:rPr>
        <w:t>автолавка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, специализация нестационарного торгового объекта: </w:t>
      </w:r>
      <w:bookmarkStart w:id="0" w:name="__DdeLink__6379_1828856556"/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торговля </w:t>
      </w:r>
      <w:bookmarkStart w:id="1" w:name="__DdeLink__225_2503100525"/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>хлебобулочными изделиями, продуктами питания, включая безалкогольные напитки</w:t>
      </w:r>
      <w:bookmarkEnd w:id="1"/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>,</w:t>
      </w:r>
      <w:bookmarkEnd w:id="0"/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 ассортимент реализуемых товаров (услуг): торговля хлебобулочными изделиями, продуктами питания, включая безалкогольные напитки, часы работы: 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hi-IN" w:bidi="ar-SA"/>
        </w:rPr>
        <w:t>с 9 ч. до 21 ч.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, </w:t>
      </w:r>
      <w:bookmarkStart w:id="2" w:name="__DdeLink__2767_1583929117"/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>сро</w:t>
      </w:r>
      <w:bookmarkEnd w:id="2"/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к: 2 года, в размере: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hi-IN" w:bidi="ar-SA"/>
        </w:rPr>
        <w:t>15 499, 56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 руб. (пятнадцать тысяч четыреста девяносто девять рублей пятьдесят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en-US" w:bidi="ar-SA"/>
        </w:rPr>
        <w:t>шесть</w:t>
      </w: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 копеек) в год.</w:t>
      </w:r>
    </w:p>
    <w:p>
      <w:pPr>
        <w:pStyle w:val="Normal"/>
        <w:tabs>
          <w:tab w:val="clear" w:pos="709"/>
          <w:tab w:val="left" w:pos="567" w:leader="none"/>
        </w:tabs>
        <w:spacing w:lineRule="auto" w:line="36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ab/>
        <w:t xml:space="preserve">В соответствии с п. 2.6 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</w:rPr>
        <w:t>Порядк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  <w:lang w:eastAsia="ar-SA"/>
        </w:rPr>
        <w:t>а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</w:rPr>
        <w:t xml:space="preserve"> принятия решения на размещения нестационарных торговых объектов на территории Нововилговского сельского поселения Администрация Нововилговского сельского поселения сообщает, что если в течение десяти календарных дней после опубликования данного сообщения не поступают иные заявления на выдачу решений размещения объекта на том же месте, Администрация выдает разрешение 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  <w:lang w:eastAsia="ar-SA"/>
        </w:rPr>
        <w:t>заявителю,</w:t>
      </w:r>
      <w:r>
        <w:rPr>
          <w:rFonts w:eastAsia="Times New Roman" w:cs="Times New Roman" w:ascii="Times New Roman" w:hAnsi="Times New Roman"/>
          <w:color w:val="000000"/>
          <w:spacing w:val="6"/>
          <w:kern w:val="0"/>
          <w:sz w:val="24"/>
          <w:szCs w:val="24"/>
        </w:rPr>
        <w:t xml:space="preserve"> подавшему единственное заявление. </w:t>
      </w:r>
    </w:p>
    <w:p>
      <w:pPr>
        <w:pStyle w:val="Default"/>
        <w:spacing w:lineRule="auto" w:line="36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 случае поступления</w:t>
      </w:r>
      <w:r>
        <w:rPr>
          <w:rFonts w:eastAsia="Times New Roman"/>
          <w:sz w:val="24"/>
          <w:szCs w:val="24"/>
        </w:rPr>
        <w:t xml:space="preserve"> в срок письменных заявлений хозяйствующих субъектов, осуществляющих торговую деятельность, о желании претендовать на право размещения нестационарного торгового объекта в рассматриваемом месте размещения, администрация Нововилговского сельского поселения </w:t>
      </w:r>
      <w:r>
        <w:rPr>
          <w:rFonts w:eastAsia="Times New Roman"/>
          <w:b/>
          <w:sz w:val="24"/>
          <w:szCs w:val="24"/>
        </w:rPr>
        <w:t xml:space="preserve"> объявляет аукцион</w:t>
      </w:r>
      <w:r>
        <w:rPr>
          <w:rFonts w:eastAsia="Times New Roman"/>
          <w:sz w:val="24"/>
          <w:szCs w:val="24"/>
        </w:rPr>
        <w:t>, предметом котор</w:t>
      </w:r>
      <w:r>
        <w:rPr>
          <w:rFonts w:eastAsia="Times New Roman"/>
          <w:sz w:val="24"/>
          <w:szCs w:val="24"/>
          <w:lang w:eastAsia="ar-SA"/>
        </w:rPr>
        <w:t>ого</w:t>
      </w:r>
      <w:r>
        <w:rPr>
          <w:rFonts w:eastAsia="Times New Roman"/>
          <w:sz w:val="24"/>
          <w:szCs w:val="24"/>
        </w:rPr>
        <w:t xml:space="preserve"> является право на заключение Соглашения на размещение нестационарного торгового объекта. </w:t>
      </w:r>
    </w:p>
    <w:p>
      <w:pPr>
        <w:pStyle w:val="Default"/>
        <w:spacing w:lineRule="auto" w:line="360"/>
        <w:ind w:left="0" w:right="0" w:firstLine="567"/>
        <w:jc w:val="both"/>
        <w:rPr/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всем вопросам обращаться в администрацию Нововилговского сельского поселения по адресу: ул. Центральная, д. 5, п. Новая Вилга, Прионежский район, Республика Карелия, е-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 xml:space="preserve">: </w:t>
      </w:r>
      <w:hyperlink r:id="rId5"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val="en-US" w:eastAsia="zxx"/>
          </w:rPr>
          <w:t>admin</w:t>
        </w:r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eastAsia="zxx"/>
          </w:rPr>
          <w:t>.</w:t>
        </w:r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val="en-US" w:eastAsia="zxx"/>
          </w:rPr>
          <w:t>vilga</w:t>
        </w:r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eastAsia="zxx"/>
          </w:rPr>
          <w:t>@</w:t>
        </w:r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val="en-US" w:eastAsia="zxx"/>
          </w:rPr>
          <w:t>onego</w:t>
        </w:r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eastAsia="zxx"/>
          </w:rPr>
          <w:t>.</w:t>
        </w:r>
        <w:r>
          <w:rPr>
            <w:rStyle w:val="Style"/>
            <w:rFonts w:eastAsia="Times New Roman"/>
            <w:color w:val="000080"/>
            <w:sz w:val="24"/>
            <w:szCs w:val="24"/>
            <w:u w:val="single"/>
            <w:lang w:val="en-US" w:eastAsia="zxx"/>
          </w:rPr>
          <w:t>ru</w:t>
        </w:r>
      </w:hyperlink>
      <w:r>
        <w:rPr>
          <w:rFonts w:eastAsia="Times New Roman"/>
          <w:sz w:val="24"/>
          <w:szCs w:val="24"/>
        </w:rPr>
        <w:t xml:space="preserve"> и по тел.: 78-68-30, 78-67-33.</w:t>
      </w:r>
    </w:p>
    <w:p>
      <w:pPr>
        <w:pStyle w:val="Default"/>
        <w:spacing w:lineRule="auto" w:line="360"/>
        <w:ind w:left="0" w:righ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И.о. Главы Нововилговского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pacing w:val="6"/>
          <w:kern w:val="0"/>
          <w:sz w:val="24"/>
          <w:szCs w:val="24"/>
        </w:rPr>
        <w:t xml:space="preserve">сельского поселения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spacing w:val="6"/>
          <w:kern w:val="0"/>
          <w:sz w:val="24"/>
          <w:szCs w:val="24"/>
          <w:lang w:val="ru-RU" w:eastAsia="en-US" w:bidi="ar-SA"/>
        </w:rPr>
        <w:t>Т.С. Семихина</w:t>
      </w:r>
    </w:p>
    <w:sectPr>
      <w:type w:val="nextPage"/>
      <w:pgSz w:w="11906" w:h="16838"/>
      <w:pgMar w:left="1134" w:right="850" w:header="0" w:top="850" w:footer="0" w:bottom="28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4388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widowControl/>
      <w:tabs>
        <w:tab w:val="clear" w:pos="709"/>
        <w:tab w:val="left" w:pos="0" w:leader="none"/>
      </w:tabs>
      <w:jc w:val="center"/>
    </w:pPr>
    <w:rPr>
      <w:sz w:val="28"/>
      <w:lang w:eastAsia="ar-SA"/>
    </w:rPr>
  </w:style>
  <w:style w:type="paragraph" w:styleId="2">
    <w:name w:val="Heading 2"/>
    <w:basedOn w:val="Normal"/>
    <w:qFormat/>
    <w:pPr>
      <w:keepNext w:val="true"/>
      <w:widowControl/>
      <w:tabs>
        <w:tab w:val="clear" w:pos="709"/>
        <w:tab w:val="left" w:pos="0" w:leader="none"/>
      </w:tabs>
      <w:jc w:val="center"/>
    </w:pPr>
    <w:rPr>
      <w:b/>
      <w:bCs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/>
      <w:b/>
      <w:bCs/>
      <w:lang w:eastAsia="zh-CN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/>
      <w:lang w:eastAsia="zh-CN"/>
    </w:rPr>
  </w:style>
  <w:style w:type="character" w:styleId="C8edf2e5f0ede5f2f1f1fbebeae0">
    <w:name w:val="Иc8нedтf2еe5рf0нedеe5тf2-сf1сf1ыfbлebкeaаe0"/>
    <w:qFormat/>
    <w:rPr>
      <w:color w:val="000080"/>
      <w:u w:val="single"/>
      <w:lang w:val="zxx" w:eastAsia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Cde8e6ede8e9eaeeebeeedf2e8f2f3eb">
    <w:name w:val="Нcdиe8жe6нedиe8йe9 кeaоeeлebоeeнedтf2иe8тf2уf3лeb"/>
    <w:basedOn w:val="C2e5f0f5ede8e9e8ede8e6ede8e9eaeeebeeedf2e8f2f3ebfb"/>
    <w:qFormat/>
    <w:pPr/>
    <w:rPr/>
  </w:style>
  <w:style w:type="paragraph" w:styleId="C2e5f0f5ede8e9eaeeebeeedf2e8f2f3eb">
    <w:name w:val="Вc2еe5рf0хf5нedиe8йe9 кeaоeeлebоeeнedтf2иe8тf2уf3лeb"/>
    <w:basedOn w:val="C2e5f0f5ede8e9e8ede8e6ede8e9eaeeebeeedf2e8f2f3ebfb"/>
    <w:qFormat/>
    <w:pPr/>
    <w:rPr/>
  </w:style>
  <w:style w:type="paragraph" w:styleId="C2e5f0f5ede8e9e8ede8e6ede8e9eaeeebeeedf2e8f2f3ebfb">
    <w:name w:val="Вc2еe5рf0хf5нedиe8йe9 иe8 нedиe8жe6нedиe8йe9 кeaоeeлebоeeнedтf2иe8тf2уf3лebыfb"/>
    <w:basedOn w:val="Normal"/>
    <w:qFormat/>
    <w:pPr/>
    <w:rPr/>
  </w:style>
  <w:style w:type="paragraph" w:styleId="Cef1edeee2edeee9f2e5eaf1f221">
    <w:name w:val="Оceсf1нedоeeвe2нedоeeйe9 тf2еe5кeaсf1тf2 21"/>
    <w:basedOn w:val="Normal"/>
    <w:qFormat/>
    <w:pPr>
      <w:jc w:val="both"/>
    </w:pPr>
    <w:rPr/>
  </w:style>
  <w:style w:type="paragraph" w:styleId="D3eae0e7e0f2e5ebfc">
    <w:name w:val="Уd3кeaаe0зe7аe0тf2еe5лebьfc"/>
    <w:basedOn w:val="Normal"/>
    <w:qFormat/>
    <w:pPr/>
    <w:rPr/>
  </w:style>
  <w:style w:type="paragraph" w:styleId="Cde0e7e2e0ede8e5">
    <w:name w:val="Нcdаe0зe7вe2аe0нedиe8еe5"/>
    <w:basedOn w:val="Normal"/>
    <w:qFormat/>
    <w:pPr>
      <w:spacing w:before="120" w:after="120"/>
    </w:pPr>
    <w:rPr>
      <w:i/>
      <w:iCs/>
    </w:rPr>
  </w:style>
  <w:style w:type="paragraph" w:styleId="D1efe8f1eeea">
    <w:name w:val="Сd1пefиe8сf1оeeкea"/>
    <w:basedOn w:val="Cef1edeee2edeee9f2e5eaf1f2"/>
    <w:qFormat/>
    <w:pPr>
      <w:spacing w:lineRule="auto" w:line="276" w:before="0" w:after="140"/>
    </w:pPr>
    <w:rPr/>
  </w:style>
  <w:style w:type="paragraph" w:styleId="Cef1edeee2edeee9f2e5eaf1f2">
    <w:name w:val="Оceсf1нedоeeвe2нedоeeйe9 тf2еe5кeaсf1тf2"/>
    <w:basedOn w:val="Normal"/>
    <w:qFormat/>
    <w:pPr>
      <w:spacing w:lineRule="auto" w:line="276" w:before="0" w:after="140"/>
    </w:pPr>
    <w:rPr/>
  </w:style>
  <w:style w:type="paragraph" w:styleId="C7e0e3eeebeee2eeea">
    <w:name w:val="Зc7аe0гe3оeeлebоeeвe2оeeкea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ocumentMap">
    <w:name w:val="DocumentMap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auto"/>
    </w:pPr>
    <w:rPr>
      <w:rFonts w:ascii="Calibri" w:hAnsi="Calibri" w:eastAsia="Liberation Serif" w:cs="Liberation Serif" w:asciiTheme="minorHAnsi" w:hAnsiTheme="minorHAnsi"/>
      <w:color w:val="auto"/>
      <w:kern w:val="2"/>
      <w:sz w:val="22"/>
      <w:szCs w:val="22"/>
      <w:lang w:val="ru-RU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mailto:admin.vilga@onego.ru" TargetMode="External"/><Relationship Id="rId5" Type="http://schemas.openxmlformats.org/officeDocument/2006/relationships/hyperlink" Target="mailto:admin.vilga@onego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LibreOffice/6.3.4.2$Windows_X86_64 LibreOffice_project/60da17e045e08f1793c57c00ba83cdfce946d0aa</Application>
  <Pages>2</Pages>
  <Words>442</Words>
  <Characters>3328</Characters>
  <CharactersWithSpaces>3871</CharactersWithSpaces>
  <Paragraphs>21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2019-10-14T08:10:00Z</dcterms:created>
  <dc:creator>ПК</dc:creator>
  <dc:description/>
  <dc:language>ru-RU</dc:language>
  <cp:lastModifiedBy/>
  <dcterms:modified xsi:type="dcterms:W3CDTF">2024-07-31T15:31:41Z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