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F0" w:rsidRDefault="00251AF0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251AF0" w:rsidRDefault="00A12305">
      <w:pPr>
        <w:spacing w:line="283" w:lineRule="atLeast"/>
        <w:jc w:val="center"/>
        <w:rPr>
          <w:b/>
          <w:bCs/>
          <w:color w:val="auto"/>
          <w:sz w:val="26"/>
          <w:szCs w:val="26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bCs/>
          <w:sz w:val="26"/>
          <w:szCs w:val="26"/>
        </w:rPr>
        <w:t>О необходимости актуализации сведений о ранее учтенных объектах недвижимости</w:t>
      </w:r>
      <w:bookmarkEnd w:id="0"/>
    </w:p>
    <w:p w:rsidR="00251AF0" w:rsidRDefault="00A12305">
      <w:pPr>
        <w:ind w:firstLine="851"/>
        <w:jc w:val="both"/>
        <w:rPr>
          <w:sz w:val="28"/>
          <w:szCs w:val="28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</w:rPr>
        <w:t>В Управление Росреестра по Республике Карелия часто поступают вопросы, связанные с выявлением правообладателей ранее учтенных объектов недвижимости. Людей интересует, достаточно ли того, что сведения о них, как о правообладателях ранее учтенных объектов не</w:t>
      </w:r>
      <w:r>
        <w:rPr>
          <w:sz w:val="26"/>
          <w:szCs w:val="26"/>
        </w:rPr>
        <w:t>движимости, внесены в ЕГРН, либо следует зарегистрировать свои права.</w:t>
      </w:r>
    </w:p>
    <w:p w:rsidR="00251AF0" w:rsidRDefault="00A12305">
      <w:pPr>
        <w:ind w:firstLine="851"/>
        <w:jc w:val="both"/>
        <w:rPr>
          <w:color w:val="auto"/>
          <w:sz w:val="28"/>
          <w:szCs w:val="28"/>
        </w:rPr>
      </w:pPr>
      <w:r>
        <w:rPr>
          <w:sz w:val="26"/>
          <w:szCs w:val="26"/>
        </w:rPr>
        <w:t>Федеральным законом от 30.12.2020 № 518-ФЗ «О внесении изменений в отдельные законодатель</w:t>
      </w:r>
      <w:r>
        <w:rPr>
          <w:color w:val="auto"/>
          <w:sz w:val="26"/>
          <w:szCs w:val="26"/>
        </w:rPr>
        <w:t>ные акты Российской Федерации» установлен порядок выявления правообладателей ранее учтенных объек</w:t>
      </w:r>
      <w:r>
        <w:rPr>
          <w:color w:val="auto"/>
          <w:sz w:val="26"/>
          <w:szCs w:val="26"/>
        </w:rPr>
        <w:t>тов недвижимости.</w:t>
      </w:r>
    </w:p>
    <w:p w:rsidR="00251AF0" w:rsidRDefault="00A12305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6"/>
          <w:szCs w:val="26"/>
        </w:rPr>
        <w:t xml:space="preserve">Реализацией закона занимаются органы местного самоуправления. </w:t>
      </w:r>
    </w:p>
    <w:p w:rsidR="00251AF0" w:rsidRDefault="00A12305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6"/>
          <w:szCs w:val="26"/>
        </w:rPr>
        <w:t>Муниципалитеты проводят всю необходимую работу  - самостоятельно анализируют сведения в своих архивах, запрашивают информацию в налоговых органах, ПФР России, органах внутренн</w:t>
      </w:r>
      <w:r>
        <w:rPr>
          <w:color w:val="auto"/>
          <w:sz w:val="26"/>
          <w:szCs w:val="26"/>
        </w:rPr>
        <w:t xml:space="preserve">их дел, органах записи актов гражданского состояния, у нотариусов и т.д. В случае выявления собственников ранее учтенных объектов муниципалитеты проинформируют их об этом и самостоятельно направят в Росреестр заявления о внесении в </w:t>
      </w:r>
      <w:r>
        <w:rPr>
          <w:sz w:val="26"/>
          <w:szCs w:val="26"/>
        </w:rPr>
        <w:t>Единый государственный р</w:t>
      </w:r>
      <w:r>
        <w:rPr>
          <w:sz w:val="26"/>
          <w:szCs w:val="26"/>
        </w:rPr>
        <w:t>еестр недвижимости (далее – ЕГРН)</w:t>
      </w:r>
      <w:r>
        <w:rPr>
          <w:color w:val="auto"/>
          <w:sz w:val="26"/>
          <w:szCs w:val="26"/>
        </w:rPr>
        <w:t xml:space="preserve"> соответствующих сведений.</w:t>
      </w:r>
    </w:p>
    <w:p w:rsidR="00251AF0" w:rsidRDefault="00A12305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6"/>
          <w:szCs w:val="26"/>
        </w:rPr>
        <w:t>Какие преимущества получает гражданин при внесении сведений в ЕГРН о нем, как о правообладателе ранее учтенного объекта недвижимости?</w:t>
      </w:r>
    </w:p>
    <w:p w:rsidR="00251AF0" w:rsidRDefault="00A12305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6"/>
          <w:szCs w:val="26"/>
        </w:rPr>
        <w:t>Например, другой гражданин, желающий приобрести земельный учас</w:t>
      </w:r>
      <w:r>
        <w:rPr>
          <w:color w:val="auto"/>
          <w:sz w:val="26"/>
          <w:szCs w:val="26"/>
        </w:rPr>
        <w:t>ток, может увидеть, что ранее данный земельный участок был предоставлен иному лицо. Таким образом, наличие в ЕГРН сведений о лице, выявленном в качестве правообладателя ранее учтенного земельного участка, может позволить избежать дальнейших судебных споров</w:t>
      </w:r>
      <w:r>
        <w:rPr>
          <w:color w:val="auto"/>
          <w:sz w:val="26"/>
          <w:szCs w:val="26"/>
        </w:rPr>
        <w:t xml:space="preserve"> о правах на земельный участок.</w:t>
      </w:r>
    </w:p>
    <w:p w:rsidR="00251AF0" w:rsidRDefault="00A12305">
      <w:p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6"/>
          <w:szCs w:val="26"/>
        </w:rPr>
        <w:lastRenderedPageBreak/>
        <w:t xml:space="preserve">Вместе с тем правообладатель ранее учтенного объекта недвижимости может наиболее эффективно защитить свои права на ранее учтенный объект только зарегистрировав в ЕГРН права на объект недвижимости. В таком случае собственник </w:t>
      </w:r>
      <w:r>
        <w:rPr>
          <w:color w:val="auto"/>
          <w:sz w:val="26"/>
          <w:szCs w:val="26"/>
        </w:rPr>
        <w:t>может, например, защититься от возможных мошеннических действий путем внесения в ЕГРН отметки о невозможности государственной регистрации перехода права, ограничения права и обременения объекта недвижимости без личного участия собственника объекта недвижим</w:t>
      </w:r>
      <w:r>
        <w:rPr>
          <w:color w:val="auto"/>
          <w:sz w:val="26"/>
          <w:szCs w:val="26"/>
        </w:rPr>
        <w:t>ости.</w:t>
      </w:r>
    </w:p>
    <w:p w:rsidR="00251AF0" w:rsidRDefault="00A12305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Представьте себе ситуацию, что собственником был утрачен документ, свидетельствующий о наличии ранее возникшего, но не зарегистрированного в ЕГРН права. Восстановить такой документ весьма затруднительно, право в ЕГРН не зарегистрировано, словом, проб</w:t>
      </w:r>
      <w:r>
        <w:rPr>
          <w:sz w:val="26"/>
          <w:szCs w:val="26"/>
        </w:rPr>
        <w:t>лем в такой ситуации будет достаточно. Возможно, собственнику даже не удастся доказать, что объект недвижимости ему принадлежит.</w:t>
      </w:r>
    </w:p>
    <w:p w:rsidR="00251AF0" w:rsidRDefault="00A12305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Наличие в ЕГРН записи о государственной регистрации ранее возникшего права гарантирует, что подобные проблемы не возникнут.</w:t>
      </w:r>
    </w:p>
    <w:p w:rsidR="00251AF0" w:rsidRDefault="00A123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При</w:t>
      </w:r>
      <w:r>
        <w:rPr>
          <w:color w:val="auto"/>
          <w:sz w:val="26"/>
          <w:szCs w:val="26"/>
        </w:rPr>
        <w:t xml:space="preserve">нимая во внимание, что с 01.01.2021 государственная пошлина за государственную регистрацию ранее возникших прав не взимается, правообладателю имеет смысл самостоятельно обратиться за государственной регистрацией ранее возникших прав. </w:t>
      </w:r>
    </w:p>
    <w:p w:rsidR="00251AF0" w:rsidRDefault="00251AF0">
      <w:pPr>
        <w:spacing w:line="283" w:lineRule="atLeast"/>
        <w:jc w:val="both"/>
        <w:rPr>
          <w:sz w:val="26"/>
          <w:szCs w:val="26"/>
        </w:rPr>
      </w:pPr>
    </w:p>
    <w:p w:rsidR="00251AF0" w:rsidRDefault="00251AF0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251AF0" w:rsidRDefault="00251AF0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251AF0" w:rsidRDefault="00251AF0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251AF0" w:rsidRDefault="00A1230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Материал подготов</w:t>
      </w:r>
      <w:r>
        <w:rPr>
          <w:rFonts w:ascii="Segoe UI" w:hAnsi="Segoe UI"/>
          <w:sz w:val="22"/>
          <w:szCs w:val="22"/>
        </w:rPr>
        <w:t xml:space="preserve">лен пресс-службой </w:t>
      </w:r>
    </w:p>
    <w:p w:rsidR="00251AF0" w:rsidRDefault="00A1230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51AF0" w:rsidRDefault="00A12305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251AF0" w:rsidRDefault="00251AF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1AF0" w:rsidRDefault="00251AF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1AF0" w:rsidRDefault="00251AF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1AF0" w:rsidRDefault="00251AF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1AF0" w:rsidRDefault="00251AF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1AF0" w:rsidRDefault="00A1230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51AF0" w:rsidRDefault="00A1230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251AF0" w:rsidRDefault="00A12305">
      <w:r>
        <w:rPr>
          <w:rFonts w:ascii="Segoe UI" w:hAnsi="Segoe UI" w:cs="Segoe UI"/>
          <w:sz w:val="18"/>
          <w:szCs w:val="18"/>
        </w:rPr>
        <w:t>8 (8142) 76 29 48</w:t>
      </w:r>
    </w:p>
    <w:p w:rsidR="00251AF0" w:rsidRDefault="00A12305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51AF0" w:rsidRDefault="00A12305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</w:t>
      </w:r>
      <w:r>
        <w:rPr>
          <w:rFonts w:ascii="Segoe UI" w:hAnsi="Segoe UI" w:cs="Segoe UI"/>
          <w:sz w:val="18"/>
          <w:szCs w:val="18"/>
        </w:rPr>
        <w:t>водск, ул. Красная, д. 31</w:t>
      </w:r>
    </w:p>
    <w:sectPr w:rsidR="00251AF0">
      <w:headerReference w:type="default" r:id="rId10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05" w:rsidRDefault="00A12305">
      <w:r>
        <w:separator/>
      </w:r>
    </w:p>
  </w:endnote>
  <w:endnote w:type="continuationSeparator" w:id="0">
    <w:p w:rsidR="00A12305" w:rsidRDefault="00A1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05" w:rsidRDefault="00A12305">
      <w:r>
        <w:separator/>
      </w:r>
    </w:p>
  </w:footnote>
  <w:footnote w:type="continuationSeparator" w:id="0">
    <w:p w:rsidR="00A12305" w:rsidRDefault="00A1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F0" w:rsidRDefault="00A12305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983"/>
    <w:multiLevelType w:val="hybridMultilevel"/>
    <w:tmpl w:val="7AC0AB44"/>
    <w:lvl w:ilvl="0" w:tplc="FB86C5A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BCE11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91C482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7145A6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2C6893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3DC6F7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8689F5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68E19F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E80E3D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C22AC5"/>
    <w:multiLevelType w:val="hybridMultilevel"/>
    <w:tmpl w:val="20966B14"/>
    <w:lvl w:ilvl="0" w:tplc="7A4E6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ACABBB2">
      <w:start w:val="1"/>
      <w:numFmt w:val="lowerLetter"/>
      <w:lvlText w:val="%2."/>
      <w:lvlJc w:val="left"/>
      <w:pPr>
        <w:ind w:left="1440" w:hanging="360"/>
      </w:pPr>
    </w:lvl>
    <w:lvl w:ilvl="2" w:tplc="29726650">
      <w:start w:val="1"/>
      <w:numFmt w:val="lowerRoman"/>
      <w:lvlText w:val="%3."/>
      <w:lvlJc w:val="right"/>
      <w:pPr>
        <w:ind w:left="2160" w:hanging="180"/>
      </w:pPr>
    </w:lvl>
    <w:lvl w:ilvl="3" w:tplc="9BDA8624">
      <w:start w:val="1"/>
      <w:numFmt w:val="decimal"/>
      <w:lvlText w:val="%4."/>
      <w:lvlJc w:val="left"/>
      <w:pPr>
        <w:ind w:left="2880" w:hanging="360"/>
      </w:pPr>
    </w:lvl>
    <w:lvl w:ilvl="4" w:tplc="7F1E0ADC">
      <w:start w:val="1"/>
      <w:numFmt w:val="lowerLetter"/>
      <w:lvlText w:val="%5."/>
      <w:lvlJc w:val="left"/>
      <w:pPr>
        <w:ind w:left="3600" w:hanging="360"/>
      </w:pPr>
    </w:lvl>
    <w:lvl w:ilvl="5" w:tplc="E8BAB056">
      <w:start w:val="1"/>
      <w:numFmt w:val="lowerRoman"/>
      <w:lvlText w:val="%6."/>
      <w:lvlJc w:val="right"/>
      <w:pPr>
        <w:ind w:left="4320" w:hanging="180"/>
      </w:pPr>
    </w:lvl>
    <w:lvl w:ilvl="6" w:tplc="58704970">
      <w:start w:val="1"/>
      <w:numFmt w:val="decimal"/>
      <w:lvlText w:val="%7."/>
      <w:lvlJc w:val="left"/>
      <w:pPr>
        <w:ind w:left="5040" w:hanging="360"/>
      </w:pPr>
    </w:lvl>
    <w:lvl w:ilvl="7" w:tplc="E5C08B2E">
      <w:start w:val="1"/>
      <w:numFmt w:val="lowerLetter"/>
      <w:lvlText w:val="%8."/>
      <w:lvlJc w:val="left"/>
      <w:pPr>
        <w:ind w:left="5760" w:hanging="360"/>
      </w:pPr>
    </w:lvl>
    <w:lvl w:ilvl="8" w:tplc="0BC841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4331"/>
    <w:multiLevelType w:val="hybridMultilevel"/>
    <w:tmpl w:val="FED284F8"/>
    <w:lvl w:ilvl="0" w:tplc="96744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9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D2D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D47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1EBE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9C4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5E17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FA52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8E8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B2065"/>
    <w:multiLevelType w:val="hybridMultilevel"/>
    <w:tmpl w:val="06A8C09A"/>
    <w:lvl w:ilvl="0" w:tplc="5824F9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47FCED2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0CBA87B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78C6BF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4B24F6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A1EA3BF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3EEE97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A86CD67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51F22F5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4" w15:restartNumberingAfterBreak="0">
    <w:nsid w:val="146527D2"/>
    <w:multiLevelType w:val="hybridMultilevel"/>
    <w:tmpl w:val="ABE8868C"/>
    <w:lvl w:ilvl="0" w:tplc="5336D7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16C61CA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B59485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190069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7B38816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C2500B5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0C14CA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8458B90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AA84284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 w15:restartNumberingAfterBreak="0">
    <w:nsid w:val="2D9C645F"/>
    <w:multiLevelType w:val="hybridMultilevel"/>
    <w:tmpl w:val="A1B64D6E"/>
    <w:lvl w:ilvl="0" w:tplc="E5D6C8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34CD3B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1808D4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E8291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5D2B2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CC250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AE226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790F3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07C2AF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0E46AB"/>
    <w:multiLevelType w:val="hybridMultilevel"/>
    <w:tmpl w:val="C50840F4"/>
    <w:lvl w:ilvl="0" w:tplc="5F641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5389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A8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81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67A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22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22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26B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C0CE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F7F64"/>
    <w:multiLevelType w:val="hybridMultilevel"/>
    <w:tmpl w:val="C49A0398"/>
    <w:lvl w:ilvl="0" w:tplc="5C2EED0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D9088F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3E49A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5AB45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A6ED8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F64C6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2671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5283CE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FC6F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C24092"/>
    <w:multiLevelType w:val="hybridMultilevel"/>
    <w:tmpl w:val="CABE7F62"/>
    <w:lvl w:ilvl="0" w:tplc="6D82708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52EC791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6FE40A7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C8854CA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8AFA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B73E6FEE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745434C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78A618C8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CEC733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78A053C8"/>
    <w:multiLevelType w:val="hybridMultilevel"/>
    <w:tmpl w:val="EBC80F4E"/>
    <w:lvl w:ilvl="0" w:tplc="77A0D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B6A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DA47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4058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98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6A8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40D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C404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BAC7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47515B"/>
    <w:multiLevelType w:val="hybridMultilevel"/>
    <w:tmpl w:val="B6521B98"/>
    <w:lvl w:ilvl="0" w:tplc="0AFA53C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9D66FEE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7EBC71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E6EA33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9140B48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4EC06ED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5C0A50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50DEB4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B002AF2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F0"/>
    <w:rsid w:val="00251AF0"/>
    <w:rsid w:val="00A12305"/>
    <w:rsid w:val="00E7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2F4DC-F551-4F2F-88CD-7F5C110E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2025-07-18T07:21:00Z</dcterms:created>
  <dcterms:modified xsi:type="dcterms:W3CDTF">2025-07-18T07:21:00Z</dcterms:modified>
</cp:coreProperties>
</file>