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43D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629400" cy="2857500"/>
            <wp:effectExtent l="19050" t="0" r="0" b="0"/>
            <wp:docPr id="1" name="Рисунок 1" descr="http://900igr.net/up/datas/234024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34024/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33" cy="285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3DA" w:rsidRDefault="00A943DA" w:rsidP="00A943DA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43DA">
        <w:rPr>
          <w:rFonts w:ascii="Times New Roman" w:hAnsi="Times New Roman" w:cs="Times New Roman"/>
          <w:b/>
          <w:color w:val="002060"/>
          <w:sz w:val="24"/>
          <w:szCs w:val="24"/>
        </w:rPr>
        <w:t>Рекомендуемые произведения художественной литературы и фольклора</w:t>
      </w:r>
    </w:p>
    <w:p w:rsidR="00A943DA" w:rsidRDefault="00A943DA" w:rsidP="00A943DA">
      <w:pPr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A943DA">
        <w:rPr>
          <w:rFonts w:ascii="Times New Roman" w:hAnsi="Times New Roman" w:cs="Times New Roman"/>
          <w:b/>
          <w:i/>
          <w:color w:val="C00000"/>
          <w:sz w:val="24"/>
          <w:szCs w:val="24"/>
        </w:rPr>
        <w:t>Для детей второго года жизни</w:t>
      </w:r>
    </w:p>
    <w:p w:rsidR="00A943DA" w:rsidRDefault="00A943DA" w:rsidP="00A943DA">
      <w:pPr>
        <w:jc w:val="both"/>
        <w:rPr>
          <w:rFonts w:ascii="Times New Roman" w:hAnsi="Times New Roman" w:cs="Times New Roman"/>
          <w:sz w:val="24"/>
          <w:szCs w:val="24"/>
        </w:rPr>
      </w:pPr>
      <w:r w:rsidRPr="00A943DA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Малые формы фольклора:</w:t>
      </w:r>
      <w:r w:rsidRPr="00A943D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A943DA">
        <w:rPr>
          <w:rFonts w:ascii="Times New Roman" w:hAnsi="Times New Roman" w:cs="Times New Roman"/>
          <w:sz w:val="24"/>
          <w:szCs w:val="24"/>
        </w:rPr>
        <w:t xml:space="preserve">«Ладушки», «Сорока-сорока», «Пальчик-мальчик» и др. (от 1 года до 1 года 3 мес.), «Петушок, петушок», «Курочка», «Киска, киска», «Баю-баю», «Солнышко-ведрышко» (в обр. В. </w:t>
      </w:r>
      <w:proofErr w:type="spellStart"/>
      <w:r w:rsidRPr="00A943DA">
        <w:rPr>
          <w:rFonts w:ascii="Times New Roman" w:hAnsi="Times New Roman" w:cs="Times New Roman"/>
          <w:sz w:val="24"/>
          <w:szCs w:val="24"/>
        </w:rPr>
        <w:t>Федявской</w:t>
      </w:r>
      <w:proofErr w:type="spellEnd"/>
      <w:r w:rsidRPr="00A943DA">
        <w:rPr>
          <w:rFonts w:ascii="Times New Roman" w:hAnsi="Times New Roman" w:cs="Times New Roman"/>
          <w:sz w:val="24"/>
          <w:szCs w:val="24"/>
        </w:rPr>
        <w:t>), Н. Комиссарова «Собачка», Н. Найдёнова «Кошечка» и др. (от 1 года 3 мес. до 1 года 6 мес.).</w:t>
      </w:r>
      <w:proofErr w:type="gramEnd"/>
      <w:r w:rsidRPr="00A943DA">
        <w:rPr>
          <w:rFonts w:ascii="Times New Roman" w:hAnsi="Times New Roman" w:cs="Times New Roman"/>
          <w:sz w:val="24"/>
          <w:szCs w:val="24"/>
        </w:rPr>
        <w:t xml:space="preserve"> Народные </w:t>
      </w:r>
      <w:proofErr w:type="spellStart"/>
      <w:r w:rsidRPr="00A943DA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A943DA">
        <w:rPr>
          <w:rFonts w:ascii="Times New Roman" w:hAnsi="Times New Roman" w:cs="Times New Roman"/>
          <w:sz w:val="24"/>
          <w:szCs w:val="24"/>
        </w:rPr>
        <w:t xml:space="preserve"> и сказки: «Катя, Катя», «Курочка Ряба». </w:t>
      </w:r>
    </w:p>
    <w:p w:rsidR="00A943DA" w:rsidRPr="00A943DA" w:rsidRDefault="00A943DA" w:rsidP="00A943DA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43DA">
        <w:rPr>
          <w:rFonts w:ascii="Times New Roman" w:hAnsi="Times New Roman" w:cs="Times New Roman"/>
          <w:b/>
          <w:i/>
          <w:color w:val="002060"/>
          <w:sz w:val="24"/>
          <w:szCs w:val="24"/>
        </w:rPr>
        <w:t>Стихи:</w:t>
      </w:r>
      <w:r w:rsidRPr="00A943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3DA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A943DA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A943DA">
        <w:rPr>
          <w:rFonts w:ascii="Times New Roman" w:hAnsi="Times New Roman" w:cs="Times New Roman"/>
          <w:sz w:val="24"/>
          <w:szCs w:val="24"/>
        </w:rPr>
        <w:t xml:space="preserve"> «Уронили мишку на пол», «Снег», «Нет, напрасно мы решили», «Села птичка на окошко», «Я люблю свою лошадку», «Самолет построим сами», «Кто как кричит», М. </w:t>
      </w:r>
      <w:proofErr w:type="spellStart"/>
      <w:r w:rsidRPr="00A943DA">
        <w:rPr>
          <w:rFonts w:ascii="Times New Roman" w:hAnsi="Times New Roman" w:cs="Times New Roman"/>
          <w:sz w:val="24"/>
          <w:szCs w:val="24"/>
        </w:rPr>
        <w:t>Ивенсен</w:t>
      </w:r>
      <w:proofErr w:type="spellEnd"/>
      <w:r w:rsidRPr="00A943DA">
        <w:rPr>
          <w:rFonts w:ascii="Times New Roman" w:hAnsi="Times New Roman" w:cs="Times New Roman"/>
          <w:sz w:val="24"/>
          <w:szCs w:val="24"/>
        </w:rPr>
        <w:t xml:space="preserve"> «Поглядите, зайка плачет», М. </w:t>
      </w:r>
      <w:proofErr w:type="spellStart"/>
      <w:r w:rsidRPr="00A943DA">
        <w:rPr>
          <w:rFonts w:ascii="Times New Roman" w:hAnsi="Times New Roman" w:cs="Times New Roman"/>
          <w:sz w:val="24"/>
          <w:szCs w:val="24"/>
        </w:rPr>
        <w:t>Клокова</w:t>
      </w:r>
      <w:proofErr w:type="spellEnd"/>
      <w:r w:rsidRPr="00A943DA">
        <w:rPr>
          <w:rFonts w:ascii="Times New Roman" w:hAnsi="Times New Roman" w:cs="Times New Roman"/>
          <w:sz w:val="24"/>
          <w:szCs w:val="24"/>
        </w:rPr>
        <w:t xml:space="preserve"> «Мой конь», «Гоп-гоп» и др. (от 1 года 6 мес. до 1 года 9 мес.); З. Александрова «Дождик», «Девочки и мальчики прыгают как мячики»;</w:t>
      </w:r>
      <w:proofErr w:type="gramEnd"/>
      <w:r w:rsidRPr="00A943DA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A943DA">
        <w:rPr>
          <w:rFonts w:ascii="Times New Roman" w:hAnsi="Times New Roman" w:cs="Times New Roman"/>
          <w:sz w:val="24"/>
          <w:szCs w:val="24"/>
        </w:rPr>
        <w:t>Высотская</w:t>
      </w:r>
      <w:proofErr w:type="spellEnd"/>
      <w:r w:rsidRPr="00A943DA">
        <w:rPr>
          <w:rFonts w:ascii="Times New Roman" w:hAnsi="Times New Roman" w:cs="Times New Roman"/>
          <w:sz w:val="24"/>
          <w:szCs w:val="24"/>
        </w:rPr>
        <w:t xml:space="preserve"> «Грибок» и др. (от 1 года 9 мес. до 2 лет).</w:t>
      </w:r>
    </w:p>
    <w:sectPr w:rsidR="00A943DA" w:rsidRPr="00A943DA" w:rsidSect="00A943D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43DA"/>
    <w:rsid w:val="00A9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2020-05-21T09:40:00Z</dcterms:created>
  <dcterms:modified xsi:type="dcterms:W3CDTF">2020-05-21T09:47:00Z</dcterms:modified>
</cp:coreProperties>
</file>