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FEE" w:rsidRPr="00DE7FEE" w:rsidRDefault="00DE7FEE" w:rsidP="00DE7FEE">
      <w:pPr>
        <w:spacing w:line="240" w:lineRule="auto"/>
        <w:rPr>
          <w:rFonts w:ascii="Arial" w:eastAsia="Times New Roman" w:hAnsi="Arial" w:cs="Arial"/>
          <w:b/>
          <w:bCs/>
          <w:color w:val="222222"/>
          <w:spacing w:val="-15"/>
          <w:sz w:val="36"/>
          <w:szCs w:val="36"/>
          <w:lang w:eastAsia="ru-RU"/>
        </w:rPr>
      </w:pPr>
      <w:r w:rsidRPr="00DE7FEE">
        <w:rPr>
          <w:rFonts w:ascii="Arial" w:eastAsia="Times New Roman" w:hAnsi="Arial" w:cs="Arial"/>
          <w:b/>
          <w:bCs/>
          <w:color w:val="222222"/>
          <w:spacing w:val="-15"/>
          <w:sz w:val="36"/>
          <w:lang w:eastAsia="ru-RU"/>
        </w:rPr>
        <w:t>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w:t>
      </w:r>
    </w:p>
    <w:tbl>
      <w:tblPr>
        <w:tblW w:w="0" w:type="auto"/>
        <w:tblCellMar>
          <w:top w:w="15" w:type="dxa"/>
          <w:left w:w="15" w:type="dxa"/>
          <w:bottom w:w="15" w:type="dxa"/>
          <w:right w:w="15" w:type="dxa"/>
        </w:tblCellMar>
        <w:tblLook w:val="04A0"/>
      </w:tblPr>
      <w:tblGrid>
        <w:gridCol w:w="785"/>
        <w:gridCol w:w="3351"/>
        <w:gridCol w:w="175"/>
        <w:gridCol w:w="5194"/>
      </w:tblGrid>
      <w:tr w:rsidR="00DE7FEE" w:rsidRPr="00DE7FEE" w:rsidTr="00DE7FEE">
        <w:tc>
          <w:tcPr>
            <w:tcW w:w="924" w:type="dxa"/>
            <w:tcMar>
              <w:top w:w="75" w:type="dxa"/>
              <w:left w:w="75" w:type="dxa"/>
              <w:bottom w:w="75" w:type="dxa"/>
              <w:right w:w="75" w:type="dxa"/>
            </w:tcMar>
            <w:vAlign w:val="center"/>
            <w:hideMark/>
          </w:tcPr>
          <w:p w:rsidR="00DE7FEE" w:rsidRPr="00DE7FEE" w:rsidRDefault="00DE7FEE" w:rsidP="00DE7FEE">
            <w:pPr>
              <w:spacing w:after="0" w:line="255" w:lineRule="atLeast"/>
              <w:rPr>
                <w:rFonts w:ascii="Arial" w:eastAsia="Times New Roman" w:hAnsi="Arial" w:cs="Arial"/>
                <w:sz w:val="20"/>
                <w:szCs w:val="20"/>
                <w:lang w:eastAsia="ru-RU"/>
              </w:rPr>
            </w:pPr>
          </w:p>
        </w:tc>
        <w:tc>
          <w:tcPr>
            <w:tcW w:w="3881" w:type="dxa"/>
            <w:tcMar>
              <w:top w:w="75" w:type="dxa"/>
              <w:left w:w="75" w:type="dxa"/>
              <w:bottom w:w="75" w:type="dxa"/>
              <w:right w:w="75" w:type="dxa"/>
            </w:tcMar>
            <w:vAlign w:val="center"/>
            <w:hideMark/>
          </w:tcPr>
          <w:p w:rsidR="00DE7FEE" w:rsidRPr="00DE7FEE" w:rsidRDefault="00DE7FEE" w:rsidP="00DE7FEE">
            <w:pPr>
              <w:spacing w:after="0" w:line="255" w:lineRule="atLeast"/>
              <w:rPr>
                <w:rFonts w:ascii="Arial" w:eastAsia="Times New Roman" w:hAnsi="Arial" w:cs="Arial"/>
                <w:sz w:val="20"/>
                <w:szCs w:val="20"/>
                <w:lang w:eastAsia="ru-RU"/>
              </w:rPr>
            </w:pPr>
          </w:p>
        </w:tc>
        <w:tc>
          <w:tcPr>
            <w:tcW w:w="185" w:type="dxa"/>
            <w:tcMar>
              <w:top w:w="75" w:type="dxa"/>
              <w:left w:w="75" w:type="dxa"/>
              <w:bottom w:w="75" w:type="dxa"/>
              <w:right w:w="75" w:type="dxa"/>
            </w:tcMar>
            <w:vAlign w:val="center"/>
            <w:hideMark/>
          </w:tcPr>
          <w:p w:rsidR="00DE7FEE" w:rsidRPr="00DE7FEE" w:rsidRDefault="00DE7FEE" w:rsidP="00DE7FEE">
            <w:pPr>
              <w:spacing w:after="0" w:line="255" w:lineRule="atLeast"/>
              <w:rPr>
                <w:rFonts w:ascii="Arial" w:eastAsia="Times New Roman" w:hAnsi="Arial" w:cs="Arial"/>
                <w:sz w:val="20"/>
                <w:szCs w:val="20"/>
                <w:lang w:eastAsia="ru-RU"/>
              </w:rPr>
            </w:pPr>
          </w:p>
        </w:tc>
        <w:tc>
          <w:tcPr>
            <w:tcW w:w="6283" w:type="dxa"/>
            <w:tcMar>
              <w:top w:w="75" w:type="dxa"/>
              <w:left w:w="75" w:type="dxa"/>
              <w:bottom w:w="75" w:type="dxa"/>
              <w:right w:w="75" w:type="dxa"/>
            </w:tcMar>
            <w:vAlign w:val="center"/>
            <w:hideMark/>
          </w:tcPr>
          <w:p w:rsidR="00DE7FEE" w:rsidRPr="00DE7FEE" w:rsidRDefault="00DE7FEE" w:rsidP="00DE7FEE">
            <w:pPr>
              <w:spacing w:after="0" w:line="255" w:lineRule="atLeast"/>
              <w:rPr>
                <w:rFonts w:ascii="Arial" w:eastAsia="Times New Roman" w:hAnsi="Arial" w:cs="Arial"/>
                <w:sz w:val="20"/>
                <w:szCs w:val="20"/>
                <w:lang w:eastAsia="ru-RU"/>
              </w:rPr>
            </w:pPr>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N</w:t>
            </w:r>
          </w:p>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п\</w:t>
            </w:r>
            <w:proofErr w:type="gramStart"/>
            <w:r w:rsidRPr="00DE7FEE">
              <w:rPr>
                <w:rFonts w:ascii="Arial" w:eastAsia="Times New Roman" w:hAnsi="Arial" w:cs="Arial"/>
                <w:sz w:val="20"/>
                <w:szCs w:val="20"/>
                <w:lang w:eastAsia="ru-RU"/>
              </w:rPr>
              <w:t>п</w:t>
            </w:r>
            <w:proofErr w:type="gramEnd"/>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Виды информации</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Описание видов информации</w:t>
            </w:r>
          </w:p>
        </w:tc>
      </w:tr>
      <w:tr w:rsidR="00DE7FEE" w:rsidRPr="00DE7FEE" w:rsidTr="00DE7FEE">
        <w:tc>
          <w:tcPr>
            <w:tcW w:w="11273" w:type="dxa"/>
            <w:gridSpan w:val="4"/>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Информация, запрещенная для распространения среди детей, согласно </w:t>
            </w:r>
            <w:hyperlink r:id="rId4" w:anchor="/document/99/902254151/XA00M9I2N5/" w:history="1">
              <w:r w:rsidRPr="00DE7FEE">
                <w:rPr>
                  <w:rFonts w:ascii="Arial" w:eastAsia="Times New Roman" w:hAnsi="Arial" w:cs="Arial"/>
                  <w:color w:val="01745C"/>
                  <w:sz w:val="20"/>
                  <w:lang w:eastAsia="ru-RU"/>
                </w:rPr>
                <w:t>части 2 статьи 5 Федерального закона № 436-ФЗ</w:t>
              </w:r>
            </w:hyperlink>
            <w:r w:rsidRPr="00DE7FEE">
              <w:rPr>
                <w:rFonts w:ascii="Arial" w:eastAsia="Times New Roman" w:hAnsi="Arial" w:cs="Arial"/>
                <w:sz w:val="20"/>
                <w:szCs w:val="20"/>
                <w:lang w:eastAsia="ru-RU"/>
              </w:rPr>
              <w:t>*</w:t>
            </w:r>
          </w:p>
        </w:tc>
      </w:tr>
      <w:tr w:rsidR="00DE7FEE" w:rsidRPr="00DE7FEE" w:rsidTr="00DE7FEE">
        <w:tc>
          <w:tcPr>
            <w:tcW w:w="11273" w:type="dxa"/>
            <w:gridSpan w:val="4"/>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     </w:t>
            </w:r>
          </w:p>
          <w:p w:rsidR="00DE7FEE" w:rsidRPr="00DE7FEE" w:rsidRDefault="00DE7FEE" w:rsidP="00DE7FEE">
            <w:pPr>
              <w:spacing w:line="240" w:lineRule="auto"/>
              <w:rPr>
                <w:rFonts w:ascii="Arial" w:eastAsia="Times New Roman" w:hAnsi="Arial" w:cs="Arial"/>
                <w:sz w:val="18"/>
                <w:szCs w:val="18"/>
                <w:lang w:eastAsia="ru-RU"/>
              </w:rPr>
            </w:pPr>
            <w:r w:rsidRPr="00DE7FEE">
              <w:rPr>
                <w:rFonts w:ascii="Arial" w:eastAsia="Times New Roman" w:hAnsi="Arial" w:cs="Arial"/>
                <w:sz w:val="18"/>
                <w:lang w:eastAsia="ru-RU"/>
              </w:rPr>
              <w:t>* Рекомендуется также запретить все сетевые средства массовой информации, имеющее возрастные ограничения старше 18 лет и обозначенные в виде цифры "18" и знака "плюс" и (или) текстового словосочетания "запрещено для детей".</w:t>
            </w:r>
            <w:r w:rsidRPr="00DE7FEE">
              <w:rPr>
                <w:rFonts w:ascii="Arial" w:eastAsia="Times New Roman" w:hAnsi="Arial" w:cs="Arial"/>
                <w:sz w:val="18"/>
                <w:szCs w:val="18"/>
                <w:lang w:eastAsia="ru-RU"/>
              </w:rPr>
              <w:br/>
            </w:r>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1.</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proofErr w:type="gramStart"/>
            <w:r w:rsidRPr="00DE7FEE">
              <w:rPr>
                <w:rFonts w:ascii="Arial" w:eastAsia="Times New Roman" w:hAnsi="Arial" w:cs="Arial"/>
                <w:sz w:val="20"/>
                <w:szCs w:val="20"/>
                <w:lang w:eastAsia="ru-RU"/>
              </w:rPr>
              <w:t>Побуждающая</w:t>
            </w:r>
            <w:proofErr w:type="gramEnd"/>
            <w:r w:rsidRPr="00DE7FEE">
              <w:rPr>
                <w:rFonts w:ascii="Arial" w:eastAsia="Times New Roman" w:hAnsi="Arial" w:cs="Arial"/>
                <w:sz w:val="20"/>
                <w:szCs w:val="20"/>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описания и\или изображения способов причинения вреда своему здоровью, самоубийства; обсуждения таких способов и их последствий, мотивирующих на совершение таких действий</w:t>
            </w:r>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2.</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proofErr w:type="gramStart"/>
            <w:r w:rsidRPr="00DE7FEE">
              <w:rPr>
                <w:rFonts w:ascii="Arial" w:eastAsia="Times New Roman" w:hAnsi="Arial" w:cs="Arial"/>
                <w:sz w:val="20"/>
                <w:szCs w:val="20"/>
                <w:lang w:eastAsia="ru-RU"/>
              </w:rPr>
              <w:t>Способная</w:t>
            </w:r>
            <w:proofErr w:type="gramEnd"/>
            <w:r w:rsidRPr="00DE7FEE">
              <w:rPr>
                <w:rFonts w:ascii="Arial" w:eastAsia="Times New Roman" w:hAnsi="Arial" w:cs="Arial"/>
                <w:sz w:val="20"/>
                <w:szCs w:val="20"/>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proofErr w:type="gramStart"/>
            <w:r w:rsidRPr="00DE7FEE">
              <w:rPr>
                <w:rFonts w:ascii="Arial" w:eastAsia="Times New Roman" w:hAnsi="Arial" w:cs="Arial"/>
                <w:sz w:val="20"/>
                <w:szCs w:val="20"/>
                <w:lang w:eastAsia="ru-RU"/>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рекламу, объявления, предложения и другую информацию, направленную на продажу детям наркотических средств, психотропных и (или) одурманивающих веществ, табачных изделий, алкогольную и спиртосодержащую продукции, а также вовлечение детей в азартные игры и использование</w:t>
            </w:r>
            <w:proofErr w:type="gramEnd"/>
            <w:r w:rsidRPr="00DE7FEE">
              <w:rPr>
                <w:rFonts w:ascii="Arial" w:eastAsia="Times New Roman" w:hAnsi="Arial" w:cs="Arial"/>
                <w:sz w:val="20"/>
                <w:szCs w:val="20"/>
                <w:lang w:eastAsia="ru-RU"/>
              </w:rPr>
              <w:t xml:space="preserve"> или вовлечение в проституцию, бродяжничество или </w:t>
            </w:r>
            <w:proofErr w:type="gramStart"/>
            <w:r w:rsidRPr="00DE7FEE">
              <w:rPr>
                <w:rFonts w:ascii="Arial" w:eastAsia="Times New Roman" w:hAnsi="Arial" w:cs="Arial"/>
                <w:sz w:val="20"/>
                <w:szCs w:val="20"/>
                <w:lang w:eastAsia="ru-RU"/>
              </w:rPr>
              <w:t>попрошайничество</w:t>
            </w:r>
            <w:proofErr w:type="gramEnd"/>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3.</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proofErr w:type="gramStart"/>
            <w:r w:rsidRPr="00DE7FEE">
              <w:rPr>
                <w:rFonts w:ascii="Arial" w:eastAsia="Times New Roman" w:hAnsi="Arial" w:cs="Arial"/>
                <w:sz w:val="20"/>
                <w:szCs w:val="20"/>
                <w:lang w:eastAsia="ru-RU"/>
              </w:rP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акты насилия или жестокости, жертв насилия и жестокости, участников актов насилия и жестокости, обосновывающая, оправдывающая и вовлекающая детей в акты насилия и жестокости, а также формирующая культуру насилия и жесткости у </w:t>
            </w:r>
            <w:r w:rsidRPr="00DE7FEE">
              <w:rPr>
                <w:rFonts w:ascii="Arial" w:eastAsia="Times New Roman" w:hAnsi="Arial" w:cs="Arial"/>
                <w:sz w:val="20"/>
                <w:szCs w:val="20"/>
                <w:lang w:eastAsia="ru-RU"/>
              </w:rPr>
              <w:lastRenderedPageBreak/>
              <w:t>несовершеннолетних</w:t>
            </w:r>
            <w:proofErr w:type="gramEnd"/>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lastRenderedPageBreak/>
              <w:t>4.</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proofErr w:type="gramStart"/>
            <w:r w:rsidRPr="00DE7FEE">
              <w:rPr>
                <w:rFonts w:ascii="Arial" w:eastAsia="Times New Roman" w:hAnsi="Arial" w:cs="Arial"/>
                <w:sz w:val="20"/>
                <w:szCs w:val="20"/>
                <w:lang w:eastAsia="ru-RU"/>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рекламирующая, изображающая нетрадиционные сексуальные отношения, отказ от родителей (законных представителей), семьи и детей и влияющая на ухудшение и разрыв отношений детей с родителями и (или) другим членам семьи</w:t>
            </w:r>
            <w:proofErr w:type="gramEnd"/>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5.</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proofErr w:type="gramStart"/>
            <w:r w:rsidRPr="00DE7FEE">
              <w:rPr>
                <w:rFonts w:ascii="Arial" w:eastAsia="Times New Roman" w:hAnsi="Arial" w:cs="Arial"/>
                <w:sz w:val="20"/>
                <w:szCs w:val="20"/>
                <w:lang w:eastAsia="ru-RU"/>
              </w:rPr>
              <w:t>Оправдывающая</w:t>
            </w:r>
            <w:proofErr w:type="gramEnd"/>
            <w:r w:rsidRPr="00DE7FEE">
              <w:rPr>
                <w:rFonts w:ascii="Arial" w:eastAsia="Times New Roman" w:hAnsi="Arial" w:cs="Arial"/>
                <w:sz w:val="20"/>
                <w:szCs w:val="20"/>
                <w:lang w:eastAsia="ru-RU"/>
              </w:rPr>
              <w:t xml:space="preserve"> противоправное поведение</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призывы и вовлечение детей в противоправное поведение и одобряющая его</w:t>
            </w:r>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6.</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proofErr w:type="gramStart"/>
            <w:r w:rsidRPr="00DE7FEE">
              <w:rPr>
                <w:rFonts w:ascii="Arial" w:eastAsia="Times New Roman" w:hAnsi="Arial" w:cs="Arial"/>
                <w:sz w:val="20"/>
                <w:szCs w:val="20"/>
                <w:lang w:eastAsia="ru-RU"/>
              </w:rPr>
              <w:t>Содержащая нецензурную брань</w:t>
            </w:r>
            <w:proofErr w:type="gramEnd"/>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нецензурную брань</w:t>
            </w:r>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7.</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proofErr w:type="gramStart"/>
            <w:r w:rsidRPr="00DE7FEE">
              <w:rPr>
                <w:rFonts w:ascii="Arial" w:eastAsia="Times New Roman" w:hAnsi="Arial" w:cs="Arial"/>
                <w:sz w:val="20"/>
                <w:szCs w:val="20"/>
                <w:lang w:eastAsia="ru-RU"/>
              </w:rPr>
              <w:t>Содержащая</w:t>
            </w:r>
            <w:proofErr w:type="gramEnd"/>
            <w:r w:rsidRPr="00DE7FEE">
              <w:rPr>
                <w:rFonts w:ascii="Arial" w:eastAsia="Times New Roman" w:hAnsi="Arial" w:cs="Arial"/>
                <w:sz w:val="20"/>
                <w:szCs w:val="20"/>
                <w:lang w:eastAsia="ru-RU"/>
              </w:rPr>
              <w:t xml:space="preserve"> информацию порнографического характера</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8.</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proofErr w:type="gramStart"/>
            <w:r w:rsidRPr="00DE7FEE">
              <w:rPr>
                <w:rFonts w:ascii="Arial" w:eastAsia="Times New Roman" w:hAnsi="Arial" w:cs="Arial"/>
                <w:sz w:val="20"/>
                <w:szCs w:val="20"/>
                <w:lang w:eastAsia="ru-RU"/>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учёбы или работы, иную информацию, позволяющую прямо или косвенно установить личность такого несовершеннолетнего</w:t>
            </w:r>
            <w:proofErr w:type="gramEnd"/>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DE7FEE" w:rsidRPr="00DE7FEE" w:rsidTr="00DE7FEE">
        <w:tc>
          <w:tcPr>
            <w:tcW w:w="11273" w:type="dxa"/>
            <w:gridSpan w:val="4"/>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lastRenderedPageBreak/>
              <w:t>Информация, распространение которой среди детей определенных возрастных категорий ограничено, согласно </w:t>
            </w:r>
            <w:hyperlink r:id="rId5" w:anchor="/document/99/902254151/XA00MA42N8/" w:history="1">
              <w:r w:rsidRPr="00DE7FEE">
                <w:rPr>
                  <w:rFonts w:ascii="Arial" w:eastAsia="Times New Roman" w:hAnsi="Arial" w:cs="Arial"/>
                  <w:color w:val="01745C"/>
                  <w:sz w:val="20"/>
                  <w:lang w:eastAsia="ru-RU"/>
                </w:rPr>
                <w:t>части 3 статьи 5 Федерального закона № 436-ФЗ</w:t>
              </w:r>
            </w:hyperlink>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9.</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proofErr w:type="gramStart"/>
            <w:r w:rsidRPr="00DE7FEE">
              <w:rPr>
                <w:rFonts w:ascii="Arial" w:eastAsia="Times New Roman" w:hAnsi="Arial" w:cs="Arial"/>
                <w:sz w:val="20"/>
                <w:szCs w:val="20"/>
                <w:lang w:eastAsia="ru-RU"/>
              </w:rPr>
              <w:t>Представляемая</w:t>
            </w:r>
            <w:proofErr w:type="gramEnd"/>
            <w:r w:rsidRPr="00DE7FEE">
              <w:rPr>
                <w:rFonts w:ascii="Arial" w:eastAsia="Times New Roman" w:hAnsi="Arial" w:cs="Arial"/>
                <w:sz w:val="20"/>
                <w:szCs w:val="20"/>
                <w:lang w:eastAsia="ru-RU"/>
              </w:rPr>
              <w:t xml:space="preserve"> в виде изображения или описания жестокости, физического и (или) психического насилия, преступления или иного антиобщественного действия</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10.</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11.</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proofErr w:type="gramStart"/>
            <w:r w:rsidRPr="00DE7FEE">
              <w:rPr>
                <w:rFonts w:ascii="Arial" w:eastAsia="Times New Roman" w:hAnsi="Arial" w:cs="Arial"/>
                <w:sz w:val="20"/>
                <w:szCs w:val="20"/>
                <w:lang w:eastAsia="ru-RU"/>
              </w:rPr>
              <w:t>Представляемая</w:t>
            </w:r>
            <w:proofErr w:type="gramEnd"/>
            <w:r w:rsidRPr="00DE7FEE">
              <w:rPr>
                <w:rFonts w:ascii="Arial" w:eastAsia="Times New Roman" w:hAnsi="Arial" w:cs="Arial"/>
                <w:sz w:val="20"/>
                <w:szCs w:val="20"/>
                <w:lang w:eastAsia="ru-RU"/>
              </w:rPr>
              <w:t xml:space="preserve"> в виде изображения или описания половых отношений между мужчиной и женщиной</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12.</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proofErr w:type="gramStart"/>
            <w:r w:rsidRPr="00DE7FEE">
              <w:rPr>
                <w:rFonts w:ascii="Arial" w:eastAsia="Times New Roman" w:hAnsi="Arial" w:cs="Arial"/>
                <w:sz w:val="20"/>
                <w:szCs w:val="20"/>
                <w:lang w:eastAsia="ru-RU"/>
              </w:rPr>
              <w:t>Содержащая</w:t>
            </w:r>
            <w:proofErr w:type="gramEnd"/>
            <w:r w:rsidRPr="00DE7FEE">
              <w:rPr>
                <w:rFonts w:ascii="Arial" w:eastAsia="Times New Roman" w:hAnsi="Arial" w:cs="Arial"/>
                <w:sz w:val="20"/>
                <w:szCs w:val="20"/>
                <w:lang w:eastAsia="ru-RU"/>
              </w:rPr>
              <w:t xml:space="preserve"> бранные слова и выражения, относящиеся к нецензурной брани</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DE7FEE" w:rsidRPr="00DE7FEE" w:rsidTr="00DE7FEE">
        <w:tc>
          <w:tcPr>
            <w:tcW w:w="11273" w:type="dxa"/>
            <w:gridSpan w:val="4"/>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Информация, не соответствующая задачам образования</w:t>
            </w:r>
            <w:r w:rsidRPr="00DE7FEE">
              <w:rPr>
                <w:rFonts w:ascii="Arial" w:eastAsia="Times New Roman" w:hAnsi="Arial" w:cs="Arial"/>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75pt;height:17.25pt"/>
              </w:pict>
            </w:r>
            <w:r w:rsidRPr="00DE7FEE">
              <w:rPr>
                <w:rFonts w:ascii="Arial" w:eastAsia="Times New Roman" w:hAnsi="Arial" w:cs="Arial"/>
                <w:sz w:val="20"/>
                <w:szCs w:val="20"/>
                <w:lang w:eastAsia="ru-RU"/>
              </w:rPr>
              <w:t> (не имеет нормативного закрепления и используется для целей настоящих Методических рекомендаций)</w:t>
            </w:r>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13.</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 xml:space="preserve">Компьютерные и сетевые игры, за исключением </w:t>
            </w:r>
            <w:proofErr w:type="gramStart"/>
            <w:r w:rsidRPr="00DE7FEE">
              <w:rPr>
                <w:rFonts w:ascii="Arial" w:eastAsia="Times New Roman" w:hAnsi="Arial" w:cs="Arial"/>
                <w:sz w:val="20"/>
                <w:szCs w:val="20"/>
                <w:lang w:eastAsia="ru-RU"/>
              </w:rPr>
              <w:t>соответствующих</w:t>
            </w:r>
            <w:proofErr w:type="gramEnd"/>
            <w:r w:rsidRPr="00DE7FEE">
              <w:rPr>
                <w:rFonts w:ascii="Arial" w:eastAsia="Times New Roman" w:hAnsi="Arial" w:cs="Arial"/>
                <w:sz w:val="20"/>
                <w:szCs w:val="20"/>
                <w:lang w:eastAsia="ru-RU"/>
              </w:rPr>
              <w:t xml:space="preserve"> задачам образования</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proofErr w:type="gramStart"/>
            <w:r w:rsidRPr="00DE7FEE">
              <w:rPr>
                <w:rFonts w:ascii="Arial" w:eastAsia="Times New Roman" w:hAnsi="Arial" w:cs="Arial"/>
                <w:sz w:val="20"/>
                <w:szCs w:val="20"/>
                <w:lang w:eastAsia="ru-RU"/>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по тематике компьютерных игр, не соответствующим задачам образования, в том числе порталы браузерных игр, массовые многопользовательские игры и другие игры, игровой процесс которых осуществляется через сеть "Интернет"</w:t>
            </w:r>
            <w:proofErr w:type="gramEnd"/>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lastRenderedPageBreak/>
              <w:t>14.</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Ресурсы, базирующиеся либо ориентированные на обеспечении анонимности распространителей и потребителей информации</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proofErr w:type="gramStart"/>
            <w:r w:rsidRPr="00DE7FEE">
              <w:rPr>
                <w:rFonts w:ascii="Arial" w:eastAsia="Times New Roman" w:hAnsi="Arial" w:cs="Arial"/>
                <w:sz w:val="20"/>
                <w:szCs w:val="20"/>
                <w:lang w:eastAsia="ru-RU"/>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обеспечивающие анонимизацию сетевого трафика в сети "Интернет", такие как анонимные форумы, чаты, доски объявлений и гостевые книги, анонимайзеры и другие программы и сервисы</w:t>
            </w:r>
            <w:proofErr w:type="gramEnd"/>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15.</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Банки рефератов, эссе, дипломных работ, готовых домашних заданий и других информационных ресурсов, предоставляющих обучающимся готовые решения в форме материала, ответов и другой информации для осуществления ими учебной деятельности</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proofErr w:type="gramStart"/>
            <w:r w:rsidRPr="00DE7FEE">
              <w:rPr>
                <w:rFonts w:ascii="Arial" w:eastAsia="Times New Roman" w:hAnsi="Arial" w:cs="Arial"/>
                <w:sz w:val="20"/>
                <w:szCs w:val="20"/>
                <w:lang w:eastAsia="ru-RU"/>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такие как сайты готовых рефератов, эссе, курсовых и дипломных работ, готовых домашних заданий, решебников, ответов на контрольные и самостоятельные работы и другие информационные ресурсы, направленные на предоставление обучающимся готовых решений в форме материала</w:t>
            </w:r>
            <w:proofErr w:type="gramEnd"/>
            <w:r w:rsidRPr="00DE7FEE">
              <w:rPr>
                <w:rFonts w:ascii="Arial" w:eastAsia="Times New Roman" w:hAnsi="Arial" w:cs="Arial"/>
                <w:sz w:val="20"/>
                <w:szCs w:val="20"/>
                <w:lang w:eastAsia="ru-RU"/>
              </w:rPr>
              <w:t xml:space="preserve">, </w:t>
            </w:r>
            <w:proofErr w:type="gramStart"/>
            <w:r w:rsidRPr="00DE7FEE">
              <w:rPr>
                <w:rFonts w:ascii="Arial" w:eastAsia="Times New Roman" w:hAnsi="Arial" w:cs="Arial"/>
                <w:sz w:val="20"/>
                <w:szCs w:val="20"/>
                <w:lang w:eastAsia="ru-RU"/>
              </w:rPr>
              <w:t>ответов и другой информации, позволяющая им не осуществлять учебную деятельность самостоятельно</w:t>
            </w:r>
            <w:proofErr w:type="gramEnd"/>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16.</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Онлайн-казино и тотализаторы</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proofErr w:type="gramStart"/>
            <w:r w:rsidRPr="00DE7FEE">
              <w:rPr>
                <w:rFonts w:ascii="Arial" w:eastAsia="Times New Roman" w:hAnsi="Arial" w:cs="Arial"/>
                <w:sz w:val="20"/>
                <w:szCs w:val="20"/>
                <w:lang w:eastAsia="ru-RU"/>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информацию об электронных казино, тотализаторах и других видах игр на денежные средства или их аналоги, а также способах и методах получения к ним доступа в сети "Интернет"</w:t>
            </w:r>
            <w:proofErr w:type="gramEnd"/>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17.</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Мошеннические сайты</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Сайты, навязывающие услуги на базе СМС-платежей, сайты, обманным путем собирающие личную информацию (фишинг)</w:t>
            </w:r>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18.</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proofErr w:type="gramStart"/>
            <w:r w:rsidRPr="00DE7FEE">
              <w:rPr>
                <w:rFonts w:ascii="Arial" w:eastAsia="Times New Roman" w:hAnsi="Arial" w:cs="Arial"/>
                <w:sz w:val="20"/>
                <w:szCs w:val="20"/>
                <w:lang w:eastAsia="ru-RU"/>
              </w:rPr>
              <w:t>Магия, колдовство, чародейство, ясновидящие, приворот по фото, теургия, волшебство, некромантия и секты</w:t>
            </w:r>
            <w:proofErr w:type="gramEnd"/>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w:t>
            </w:r>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19.</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Ресурсы, содержащие рекламу и направленные на продажу товаров и/или услуг детям</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направленная на побуждение и создание заинтересованности у несовершеннолетних к убеждению родителей или </w:t>
            </w:r>
            <w:r w:rsidRPr="00DE7FEE">
              <w:rPr>
                <w:rFonts w:ascii="Arial" w:eastAsia="Times New Roman" w:hAnsi="Arial" w:cs="Arial"/>
                <w:sz w:val="20"/>
                <w:szCs w:val="20"/>
                <w:lang w:eastAsia="ru-RU"/>
              </w:rPr>
              <w:lastRenderedPageBreak/>
              <w:t>других лиц либо самостоятельно приобрести товары и/или услуги</w:t>
            </w:r>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lastRenderedPageBreak/>
              <w:t>20.</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 xml:space="preserve">Службы знакомств, социальные сети, мессенджеры и </w:t>
            </w:r>
            <w:proofErr w:type="gramStart"/>
            <w:r w:rsidRPr="00DE7FEE">
              <w:rPr>
                <w:rFonts w:ascii="Arial" w:eastAsia="Times New Roman" w:hAnsi="Arial" w:cs="Arial"/>
                <w:sz w:val="20"/>
                <w:szCs w:val="20"/>
                <w:lang w:eastAsia="ru-RU"/>
              </w:rPr>
              <w:t>сайты</w:t>
            </w:r>
            <w:proofErr w:type="gramEnd"/>
            <w:r w:rsidRPr="00DE7FEE">
              <w:rPr>
                <w:rFonts w:ascii="Arial" w:eastAsia="Times New Roman" w:hAnsi="Arial" w:cs="Arial"/>
                <w:sz w:val="20"/>
                <w:szCs w:val="20"/>
                <w:lang w:eastAsia="ru-RU"/>
              </w:rPr>
              <w:t xml:space="preserve"> и сервисы для организации сетевого общения</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proofErr w:type="gramStart"/>
            <w:r w:rsidRPr="00DE7FEE">
              <w:rPr>
                <w:rFonts w:ascii="Arial" w:eastAsia="Times New Roman" w:hAnsi="Arial" w:cs="Arial"/>
                <w:sz w:val="20"/>
                <w:szCs w:val="20"/>
                <w:lang w:eastAsia="ru-RU"/>
              </w:rPr>
              <w:t>Информационная продукция (в том числе сайты, социальные сети, интерактивные и мобильные приложения и другие виды информационных ресурсов), направленная на организацию общения между пользователями с помощью сети "Интернет", такая как служба знакомств, социальные сети, мессенджеры и другие сайты, сервисы и программы, направленные и предоставляющие необходимый функционал и возможности, за исключением электронных образовательных и информационных ресурсов, создаваемых в организациях, осуществляющих образовательную деятельность</w:t>
            </w:r>
            <w:proofErr w:type="gramEnd"/>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21.</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Интернет-ресурсы, нарушающие исключительные права обладания (авторские права)</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Информационная продукция (в том числе сайты, социальные сети, интерактивные и мобильные приложения и другие виды информационных ресурсов), направленная на предоставление пользователям сети "Интернет" информационного контента и программного обеспечения при нарушении авторского права, в форме торрентов, пиринговых сетей и других сайтов, сервисов и программ, предоставляющих необходимый функционал и возможности</w:t>
            </w:r>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22.</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Пропаганда национализма, фашизма и межнациональной розни</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23.</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Ресурсы, ориентированные на предоставление неправдивой информации об истории России и формирование неуважительного отношения к ней</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DE7FEE" w:rsidRPr="00DE7FEE" w:rsidTr="00DE7FEE">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jc w:val="center"/>
              <w:rPr>
                <w:rFonts w:ascii="Arial" w:eastAsia="Times New Roman" w:hAnsi="Arial" w:cs="Arial"/>
                <w:sz w:val="20"/>
                <w:szCs w:val="20"/>
                <w:lang w:eastAsia="ru-RU"/>
              </w:rPr>
            </w:pPr>
            <w:r w:rsidRPr="00DE7FEE">
              <w:rPr>
                <w:rFonts w:ascii="Arial" w:eastAsia="Times New Roman" w:hAnsi="Arial" w:cs="Arial"/>
                <w:sz w:val="20"/>
                <w:szCs w:val="20"/>
                <w:lang w:eastAsia="ru-RU"/>
              </w:rPr>
              <w:t>24.</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Ресурсы, ориентированные на продажу документов об образовании и (или) обучении, без прохождения итоговой аттестации в организациях, осуществляющих образовательную деятельность</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предлагающие приобрести за плату документ об образовании и (или) обучении без прохождения обучения и итоговой аттестации в организациях, осуществляющих образовательную </w:t>
            </w:r>
            <w:r w:rsidRPr="00DE7FEE">
              <w:rPr>
                <w:rFonts w:ascii="Arial" w:eastAsia="Times New Roman" w:hAnsi="Arial" w:cs="Arial"/>
                <w:sz w:val="20"/>
                <w:szCs w:val="20"/>
                <w:lang w:eastAsia="ru-RU"/>
              </w:rPr>
              <w:lastRenderedPageBreak/>
              <w:t>деятельность</w:t>
            </w:r>
          </w:p>
        </w:tc>
      </w:tr>
      <w:tr w:rsidR="00DE7FEE" w:rsidRPr="00DE7FEE" w:rsidTr="00DE7FEE">
        <w:tc>
          <w:tcPr>
            <w:tcW w:w="11273" w:type="dxa"/>
            <w:gridSpan w:val="4"/>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lastRenderedPageBreak/>
              <w:t>     1 - рекомендуется исключить из обработки систем контент-фильтрации "Интернет</w:t>
            </w:r>
            <w:proofErr w:type="gramStart"/>
            <w:r w:rsidRPr="00DE7FEE">
              <w:rPr>
                <w:rFonts w:ascii="Arial" w:eastAsia="Times New Roman" w:hAnsi="Arial" w:cs="Arial"/>
                <w:sz w:val="20"/>
                <w:szCs w:val="20"/>
                <w:lang w:eastAsia="ru-RU"/>
              </w:rPr>
              <w:t>"-</w:t>
            </w:r>
            <w:proofErr w:type="gramEnd"/>
            <w:r w:rsidRPr="00DE7FEE">
              <w:rPr>
                <w:rFonts w:ascii="Arial" w:eastAsia="Times New Roman" w:hAnsi="Arial" w:cs="Arial"/>
                <w:sz w:val="20"/>
                <w:szCs w:val="20"/>
                <w:lang w:eastAsia="ru-RU"/>
              </w:rPr>
              <w:t>ресурсы, относящиеся к домену gov.ru, официальные "Интернет"-ресурсы органов власти федерального уровня и субъектов Российской Федерации, а также рекомендованных ими к использованию в образовательном процессе "Интернет"-ресурсы;</w:t>
            </w:r>
          </w:p>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     2 - перечень информации, не соответствующей задачам образования, может быть дополнен и расширен исполнительными органами государственной власти субъектов и образовательными организациями по своему усмотрению с учетом специфики и потребностей своей деятельности;</w:t>
            </w:r>
          </w:p>
          <w:p w:rsidR="00DE7FEE" w:rsidRPr="00DE7FEE" w:rsidRDefault="00DE7FEE" w:rsidP="00DE7FEE">
            <w:pPr>
              <w:spacing w:after="150" w:line="255" w:lineRule="atLeast"/>
              <w:rPr>
                <w:rFonts w:ascii="Arial" w:eastAsia="Times New Roman" w:hAnsi="Arial" w:cs="Arial"/>
                <w:sz w:val="20"/>
                <w:szCs w:val="20"/>
                <w:lang w:eastAsia="ru-RU"/>
              </w:rPr>
            </w:pPr>
            <w:r w:rsidRPr="00DE7FEE">
              <w:rPr>
                <w:rFonts w:ascii="Arial" w:eastAsia="Times New Roman" w:hAnsi="Arial" w:cs="Arial"/>
                <w:sz w:val="20"/>
                <w:szCs w:val="20"/>
                <w:lang w:eastAsia="ru-RU"/>
              </w:rPr>
              <w:t>     3 - не имеет нормативного закрепления и используется для целей настоящих Методических рекомендаций.</w:t>
            </w:r>
          </w:p>
        </w:tc>
      </w:tr>
    </w:tbl>
    <w:p w:rsidR="00DE7FEE" w:rsidRPr="00DE7FEE" w:rsidRDefault="00DE7FEE" w:rsidP="00DE7FEE">
      <w:pPr>
        <w:spacing w:after="0" w:line="240" w:lineRule="auto"/>
        <w:rPr>
          <w:rFonts w:ascii="Times New Roman" w:eastAsia="Times New Roman" w:hAnsi="Times New Roman" w:cs="Times New Roman"/>
          <w:sz w:val="24"/>
          <w:szCs w:val="24"/>
          <w:lang w:eastAsia="ru-RU"/>
        </w:rPr>
      </w:pPr>
      <w:r w:rsidRPr="00DE7FEE">
        <w:rPr>
          <w:rFonts w:ascii="Arial" w:eastAsia="Times New Roman" w:hAnsi="Arial" w:cs="Arial"/>
          <w:color w:val="222222"/>
          <w:sz w:val="21"/>
          <w:szCs w:val="21"/>
          <w:lang w:eastAsia="ru-RU"/>
        </w:rPr>
        <w:br/>
      </w:r>
    </w:p>
    <w:p w:rsidR="00DE7FEE" w:rsidRPr="00DE7FEE" w:rsidRDefault="00DE7FEE" w:rsidP="00DE7FEE">
      <w:pPr>
        <w:spacing w:after="150" w:line="240" w:lineRule="auto"/>
        <w:rPr>
          <w:rFonts w:ascii="Arial" w:eastAsia="Times New Roman" w:hAnsi="Arial" w:cs="Arial"/>
          <w:color w:val="222222"/>
          <w:sz w:val="21"/>
          <w:szCs w:val="21"/>
          <w:lang w:eastAsia="ru-RU"/>
        </w:rPr>
      </w:pPr>
      <w:r w:rsidRPr="00DE7FEE">
        <w:rPr>
          <w:rFonts w:ascii="Arial" w:eastAsia="Times New Roman" w:hAnsi="Arial" w:cs="Arial"/>
          <w:color w:val="222222"/>
          <w:sz w:val="21"/>
          <w:szCs w:val="21"/>
          <w:lang w:eastAsia="ru-RU"/>
        </w:rPr>
        <w:br/>
      </w:r>
    </w:p>
    <w:p w:rsidR="002835E7" w:rsidRDefault="002835E7"/>
    <w:sectPr w:rsidR="002835E7" w:rsidSect="002835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4576"/>
    <w:rsid w:val="002835E7"/>
    <w:rsid w:val="004315BA"/>
    <w:rsid w:val="00586BF3"/>
    <w:rsid w:val="009D662D"/>
    <w:rsid w:val="00D44576"/>
    <w:rsid w:val="00DE7F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5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4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supplement-name">
    <w:name w:val="doc__supplement-name"/>
    <w:basedOn w:val="a0"/>
    <w:rsid w:val="00DE7FEE"/>
  </w:style>
  <w:style w:type="paragraph" w:customStyle="1" w:styleId="formattext">
    <w:name w:val="formattext"/>
    <w:basedOn w:val="a"/>
    <w:rsid w:val="00DE7F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E7FEE"/>
    <w:rPr>
      <w:color w:val="0000FF"/>
      <w:u w:val="single"/>
    </w:rPr>
  </w:style>
  <w:style w:type="character" w:customStyle="1" w:styleId="docnote-number">
    <w:name w:val="doc__note-number"/>
    <w:basedOn w:val="a0"/>
    <w:rsid w:val="00DE7FEE"/>
  </w:style>
  <w:style w:type="character" w:customStyle="1" w:styleId="docnote-text">
    <w:name w:val="doc__note-text"/>
    <w:basedOn w:val="a0"/>
    <w:rsid w:val="00DE7FEE"/>
  </w:style>
  <w:style w:type="paragraph" w:customStyle="1" w:styleId="copyright-info">
    <w:name w:val="copyright-info"/>
    <w:basedOn w:val="a"/>
    <w:rsid w:val="00DE7F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28953670">
      <w:bodyDiv w:val="1"/>
      <w:marLeft w:val="0"/>
      <w:marRight w:val="0"/>
      <w:marTop w:val="0"/>
      <w:marBottom w:val="0"/>
      <w:divBdr>
        <w:top w:val="none" w:sz="0" w:space="0" w:color="auto"/>
        <w:left w:val="none" w:sz="0" w:space="0" w:color="auto"/>
        <w:bottom w:val="none" w:sz="0" w:space="0" w:color="auto"/>
        <w:right w:val="none" w:sz="0" w:space="0" w:color="auto"/>
      </w:divBdr>
      <w:divsChild>
        <w:div w:id="1100489939">
          <w:marLeft w:val="0"/>
          <w:marRight w:val="0"/>
          <w:marTop w:val="1575"/>
          <w:marBottom w:val="600"/>
          <w:divBdr>
            <w:top w:val="none" w:sz="0" w:space="0" w:color="auto"/>
            <w:left w:val="none" w:sz="0" w:space="0" w:color="auto"/>
            <w:bottom w:val="none" w:sz="0" w:space="0" w:color="auto"/>
            <w:right w:val="none" w:sz="0" w:space="0" w:color="auto"/>
          </w:divBdr>
        </w:div>
        <w:div w:id="1791897712">
          <w:marLeft w:val="0"/>
          <w:marRight w:val="0"/>
          <w:marTop w:val="0"/>
          <w:marBottom w:val="300"/>
          <w:divBdr>
            <w:top w:val="none" w:sz="0" w:space="0" w:color="auto"/>
            <w:left w:val="none" w:sz="0" w:space="0" w:color="auto"/>
            <w:bottom w:val="none" w:sz="0" w:space="0" w:color="auto"/>
            <w:right w:val="none" w:sz="0" w:space="0" w:color="auto"/>
          </w:divBdr>
          <w:divsChild>
            <w:div w:id="724304392">
              <w:marLeft w:val="0"/>
              <w:marRight w:val="0"/>
              <w:marTop w:val="0"/>
              <w:marBottom w:val="0"/>
              <w:divBdr>
                <w:top w:val="none" w:sz="0" w:space="0" w:color="auto"/>
                <w:left w:val="none" w:sz="0" w:space="0" w:color="auto"/>
                <w:bottom w:val="none" w:sz="0" w:space="0" w:color="auto"/>
                <w:right w:val="none" w:sz="0" w:space="0" w:color="auto"/>
              </w:divBdr>
              <w:divsChild>
                <w:div w:id="1091589781">
                  <w:marLeft w:val="0"/>
                  <w:marRight w:val="0"/>
                  <w:marTop w:val="0"/>
                  <w:marBottom w:val="0"/>
                  <w:divBdr>
                    <w:top w:val="none" w:sz="0" w:space="0" w:color="auto"/>
                    <w:left w:val="none" w:sz="0" w:space="0" w:color="auto"/>
                    <w:bottom w:val="none" w:sz="0" w:space="0" w:color="auto"/>
                    <w:right w:val="none" w:sz="0" w:space="0" w:color="auto"/>
                  </w:divBdr>
                  <w:divsChild>
                    <w:div w:id="1194147526">
                      <w:marLeft w:val="60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99066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obraz.ru/?from=id2cabinet" TargetMode="External"/><Relationship Id="rId4" Type="http://schemas.openxmlformats.org/officeDocument/2006/relationships/hyperlink" Target="https://1obraz.ru/?from=id2cabi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2043</Words>
  <Characters>11646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2</cp:revision>
  <dcterms:created xsi:type="dcterms:W3CDTF">2024-07-18T05:56:00Z</dcterms:created>
  <dcterms:modified xsi:type="dcterms:W3CDTF">2024-07-18T05:56:00Z</dcterms:modified>
</cp:coreProperties>
</file>