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64" w:rsidRDefault="00763664" w:rsidP="0076366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763664" w:rsidRDefault="00763664" w:rsidP="0076366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763664" w:rsidRDefault="00763664" w:rsidP="0076366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763664" w:rsidRDefault="00763664" w:rsidP="0076366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з</w:t>
      </w:r>
      <w:r w:rsidR="00CD7B71">
        <w:rPr>
          <w:rFonts w:ascii="Times New Roman" w:hAnsi="Times New Roman" w:cs="Times New Roman"/>
          <w:b/>
          <w:i/>
          <w:sz w:val="26"/>
          <w:szCs w:val="26"/>
        </w:rPr>
        <w:t>а 7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месяц</w:t>
      </w:r>
      <w:r w:rsidR="00CD7B71">
        <w:rPr>
          <w:rFonts w:ascii="Times New Roman" w:hAnsi="Times New Roman" w:cs="Times New Roman"/>
          <w:b/>
          <w:i/>
          <w:sz w:val="26"/>
          <w:szCs w:val="26"/>
        </w:rPr>
        <w:t>ев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2022 года</w:t>
      </w:r>
    </w:p>
    <w:p w:rsidR="004E27CF" w:rsidRPr="00CF230B" w:rsidRDefault="004E27CF" w:rsidP="004E27CF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7CF" w:rsidRDefault="004E27CF" w:rsidP="00CF230B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7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Свердловской области</w:t>
      </w:r>
      <w:r w:rsidR="00CF2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2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семь месяцев 2022 г. зарегистрировано 177(197; -10,2%) ДТП с участием несовершеннолетних, в которых 202 (209; -3,3 %) </w:t>
      </w:r>
      <w:r w:rsidR="00B80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27C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 получили травмы различной степени тяжести и 11 (15; -26,7%) погибли.</w:t>
      </w:r>
    </w:p>
    <w:p w:rsidR="006949E5" w:rsidRPr="006949E5" w:rsidRDefault="006949E5" w:rsidP="006949E5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 происшествия,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6949E5" w:rsidRPr="006949E5" w:rsidRDefault="006949E5" w:rsidP="006949E5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 января около 10 часов на 5 км соединительных автодорог «Екатеринбург-Нижний Тагил-Серов» и «Серов-Североуральск-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Ивдель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 w:rsidRPr="006949E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  <w:r w:rsidRPr="006949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водитель автомобиля «Ниссан» при совершении обгона в условиях плохой видимости (снегопад), не убедился в безопасности маневра и допустил столкновение</w:t>
      </w:r>
      <w:r w:rsidRPr="006949E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 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28 января</w:t>
      </w:r>
      <w:r w:rsidRPr="006949E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 Водитель легкового автомобиля подрабатывал в такси, в этот день повез женщину с детьми из Красноуфимска в Челябинскую область. 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15 февраля в 18 часов 30 минут на 93 километре федеральной автодороги «Екатеринбург–Шадринск-Курган» (зона обслуживания ОГИБДД МО МВД России «Каменск-Уральский»), водитель автомобиля «Лифан Х60», двигаясь со стороны Курганской области в сторону Екатеринбурга, при объезде внезапно возникшего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на месте происшествия погибла 10-летняя девочка, пассажир автомобиля «Лифан». Ее сестра ровесница-близнец, а также мать - 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«Рено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«Рено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 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25 марта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транспорта, где совершил наезд на несовершеннолетнего пешехода.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автомобиля «Дэу Нексия»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6949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21 мая около 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«Мерседес Бенц» выбрал скорость, не обеспечивающую постоянный контроль за движением транспортного средства, в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Бенц» вместе со своими детьми возвращался домой в Екатеринбург.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29 июня около 16 часов 30 минут в Серове на проспекте Седова водитель автомобиля «Дэу 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 В течении пяти часов водитель 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7 июля около 16 часов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Сидельниково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к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«Киа Рио» при проезде нерегулируемого перекрестка неравнозначных дорог не уступил дорогу автомобилю «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26 июля около 13 часов на 17-м км автодороги «с. 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</w:t>
      </w:r>
      <w:r w:rsidRPr="006949E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6949E5" w:rsidRPr="006949E5" w:rsidRDefault="006949E5" w:rsidP="006949E5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3259664" wp14:editId="54073E70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45% (97) пострадавших и погибших в ДТП детей приходится на среднее школьное звено, 33% (70) на начальную школу и 22% (46) на дошкольный возраст, при этом большая часть пострадали и погибли в качестве пассажиров транспортных средств.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4F32CCD" wp14:editId="700A8458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E8415EF" wp14:editId="0C4A564E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18% (125), раненых на 10% (149), погибших на 15,4% (11).</w:t>
      </w:r>
    </w:p>
    <w:p w:rsidR="006949E5" w:rsidRPr="006949E5" w:rsidRDefault="006949E5" w:rsidP="006949E5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1ADDB811" wp14:editId="46EB33D3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63% (111) ДТП произошли при ясной погоде и 37% (66) 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483002B7" wp14:editId="74E4F0E2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56% (98) происшествий с участием несовершеннолетних произошли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 период с 07 до 08 ч. (8 ДТП, 1 погиб, 11 ранены), с 11 до 12 ч. (10 ДТП, 12 ранены) и с 15 до 19 ч. (80 ДТП, 6 погибли, 89 ранены), такая тенденция связана с активным пребыванием детей в это время на улице и интенсивностью транспорта. На 200% произошел рост количества ДТП в период с 22 до 23 часов (10).</w:t>
      </w:r>
    </w:p>
    <w:p w:rsidR="006949E5" w:rsidRPr="006949E5" w:rsidRDefault="006949E5" w:rsidP="006949E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DF9F61B" wp14:editId="496321C8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7B13C36E" wp14:editId="403D41A1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949E5" w:rsidRPr="006949E5" w:rsidRDefault="006949E5" w:rsidP="003511B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автомобильных дорогах, расположенных в черте населенных пунктов, зарегистрировано 135 ДТП (-18,7 %), в которых пострадали 149 (-14,4%) детей и 2 погибли (-66,7%).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автомобильных дорогах вне населенных пунктов зарегистрировано 41 ДТП (+52%), травмированы 53 (+71%)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 и 9 погибли (уровень АППГ). Из них зарегистрировано 16 ДТП (+100%) на дорогах федерального значения, в которых пострадал 21 ребенок (+75%) и 3 погибли (+50%). На автомобильных дорогах регионального значения произошло 35 ДТП (+34,6%), в которых 45 (+73%) детей получили травмы различной степени тяжести и 5 несовершеннолетних</w:t>
      </w:r>
      <w:r w:rsidR="003511B0" w:rsidRPr="008F54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погибли</w:t>
      </w:r>
      <w:r w:rsidR="003511B0" w:rsidRPr="008F54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(-37,5%). На дорогах местного значения зарегистрировано 106 ДТП (-19,7%), в которых травмированы 117 (-16,4%) детей и 3 ребенка погибли (-40%).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90BA245" wp14:editId="1E5CF04F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E7BC5DC" wp14:editId="1D628DD9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С участием </w:t>
      </w:r>
      <w:r w:rsidRPr="006949E5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детей - пассажиров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78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(83; -6%) ДТП, в которых пострадали 99 (96; +3%) детей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8 (11; -27,3%) погибли. Из них в возрасте до 12 лет травмированы 60 детей (-17,8%) и 7 погибли (-30%).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ДТП с участием детей - пассажиров составила 44% от общего показателя аварийности с участием детей.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В 40 случаях (-5%) ДТП с пострадавшими детьми-пассажирами произошли по причине нарушения ПДД РФ водителем, в автомобиле которого находились дети, в этих авариях пострадали 47 детей (-2%) и 8 погибли (уровень АППГ).</w:t>
      </w:r>
    </w:p>
    <w:p w:rsidR="006949E5" w:rsidRPr="006949E5" w:rsidRDefault="006949E5" w:rsidP="006949E5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68E87A4C" wp14:editId="39A8A5DA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18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20 несовершеннолетних (11; +81,8%) и 5 погибли (+25%).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ребенка перевозились на руках, шестеро - в детских удерживающих устройствах, не закрепленных к конструкции автомобиля ремнями безопасности, два ребенка перевозились в бустере, не соответствующем росту и весу ребенка, еще пятеро - без детского удерживающего устройства и девять юных пассажиров не были пристегнуты ремнем безопасности. При этом, в 8 случаях нарушения перевозки детей допустили отцы несовершеннолетних.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(64; -8,6%), количество травмированных в них детей уменьшилось на 1% (80), количество погибших уменьшилось на 27% (8).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Устойчивый рост количества ДТП с участием детей-пассажиров зарегистрирован с 7 до 8 часов (5 ДТП, 7 ранены и 1 погиб), с 15 до 19 часов (29 ДТП, 38 ранены, 4 погибли) и с 20 до 00 часов (16 ДТП, 24 ранены). На 55,6% увеличилось количество аварий в понедельник (14 ДТП, 19 ранены) и на 11% в четверг (10 ДТП, 12 ранены, 2 погибли). При этом максимальное количество ДТП с участием детей зарегистрировано в воскресенье (15 ДТП, 20 ранены). 3 ДТП с погибшими детьми-пассажирами произошли во вторник, 2 ДТП в пятницу и 1 в четверг.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5EF79C9" wp14:editId="1F1FC27A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</w:t>
      </w:r>
      <w:r w:rsidRPr="006949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детей-пешеходов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зарегистрировано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71 ДТП (89; -20,2%), в которых пострадали 73 (89; -18%) ребенка и 2 погибли (3; -33,3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%). Доля ДТП с участием детей- пешеходов составила 40% от общего показателя аварийности с участием несовершеннолетних.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7,3% (38) уменьшилось количество ДТП по собственной неосторожности несовершеннолетних пешеходов, в них пострадали 37 детей (-7,5%) и 1 погиб (-50%).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третий наезд на ребенка (26 ДТП) совершен на пешеходном переходе. В таких происшествиях травмированы 27 юных пешеходов (-23%). </w:t>
      </w:r>
    </w:p>
    <w:p w:rsidR="006949E5" w:rsidRPr="006949E5" w:rsidRDefault="006949E5" w:rsidP="006949E5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0748D7A" wp14:editId="32643BEA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Количество происшествий с детьми-пешеходами в темное время суток уменьшилось на 14,3% (6 ДТП).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каждого второго происшествия (39; 55%) стали дети-пешеходы в возрасте 10-15 лет, в этих авариях травмированы 39 детей и 1 погиб. На 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283 % (10 ДТП, 10 ранены) увеличилось количество ДТП с участием детей в возрасте 4-6 лет. Все наезды произошли в городах и населенных пунктах. На 50% увеличилось количество ДТП с участием детей-пешеходов в среду (15 ДТП, 15 ранены и 1 погиб) и на 8% в четверг (13 ДТП, 14 ранены). Помимо этого, 14 ДТП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ранены.   По времени совершения самым опасным является временной промежуток с 15 до 21 часов, в это время произошло 70% происшествий (49 ДТП, 50 ранены, 2 погибли) с участием детей-пешеходов, при этом максимальные значения зафиксированы в период с 16 до 18 часов (31 ДТП, 29 ранены, 2 погибли). На 500% увеличилось количество ДТП с 11 до 12 часов (6 ДТП, 6 ранены) и на 25% с 13 до 14 часов (5 ДТП, 5 ранены).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17 случаях ДТП (23%) произошли на маршрутах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6949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юных водителей автотранспорта</w:t>
      </w: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Авария зарегистрирована в Нижнем Тагиле.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6949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юных водителей </w:t>
      </w:r>
      <w:proofErr w:type="spellStart"/>
      <w:r w:rsidRPr="006949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велотранспорта</w:t>
      </w:r>
      <w:proofErr w:type="spellEnd"/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зарегистрировано 20 ДТП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(22; -9%), в результате которых пострадали 20 детей (22; -9%). Во всех случаях ДТП дети не использовали средства пассивной защиты (шлем, налокотники, наколенники). 18 происшествий произошли по собственной неосторожности несовершеннолетних. Участниками каждого второго ДТП (12) стали дети-велосипедисты в возрасте 10-15 лет, при этом максимальное количество ДТП зафиксированы с детьми-велосипедистами 12-13 лет (4 ДТП, 4 ранены) и 10-11 (3 ДТП, 3 ранены).  На 100% (4) отмечается рост количества ДТП с участием юных велосипедистов в возрасте 4-6 лет.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4A5B5B7F" wp14:editId="2DD1E8A9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участием </w:t>
      </w:r>
      <w:r w:rsidRPr="006949E5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юных водителей мототранспорта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зарегистрировано 7 ДТП (3; +133,3%), в результате которых пострадали 7 несовершеннолетних (2; +250%). Во всех случаях права управления мототранспортом дети не имели.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8D766D8" wp14:editId="2A91694D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Вина несовершеннолетних усматривается в 62 ДТП из 177 и составляет 35% от общего количества дорожных аварий с участием детей</w:t>
      </w:r>
      <w:r w:rsidR="001F32F7" w:rsidRPr="009215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(11), переход проезжей </w:t>
      </w: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части в неустановленном месте, в зоне видимости пешеходного перехода, перекрестка (18), неподчинение сигналам регулирования (7);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(6), пересечение проезжей части по пешеходному переходу не спешившись (6), управление при движении по проезжей части лицом моложе 14 лет (4).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Аварийными образовательными организации, учащиеся/воспитанники которых погибли в результате ДТП, либо стали участниками двух и более ДТП по собственной неосторожности, зарегистрированы: МБОУ гимназия №5, МАОУ СОШ № 157 г. Екатеринбурга, СОШ №25 г. Каменск-Уральский, МАОУ СОШ №13 г. Серов, МКОУ «Прокоп-</w:t>
      </w:r>
      <w:proofErr w:type="spellStart"/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Салдинская</w:t>
      </w:r>
      <w:proofErr w:type="spellEnd"/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Сысертского</w:t>
      </w:r>
      <w:proofErr w:type="spellEnd"/>
      <w:r w:rsidRPr="006949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района.</w:t>
      </w:r>
    </w:p>
    <w:p w:rsidR="006949E5" w:rsidRPr="006949E5" w:rsidRDefault="006949E5" w:rsidP="006949E5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49E5" w:rsidRPr="006949E5" w:rsidRDefault="006949E5" w:rsidP="006949E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9E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78179FA" wp14:editId="2D313ED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63664" w:rsidRPr="009215FC" w:rsidRDefault="001F32F7" w:rsidP="00763664">
      <w:pPr>
        <w:ind w:left="-709" w:firstLine="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</w:pPr>
      <w:r w:rsidRPr="009215F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763664" w:rsidRPr="009215FC">
        <w:rPr>
          <w:rFonts w:ascii="Times New Roman" w:hAnsi="Times New Roman" w:cs="Times New Roman"/>
          <w:b/>
          <w:sz w:val="26"/>
          <w:szCs w:val="26"/>
        </w:rPr>
        <w:t>На территории г. Ирбита и Ирбитского района ДТП с участием детей не зарегистрировано (АППГ-</w:t>
      </w:r>
      <w:r w:rsidR="00CD7B71" w:rsidRPr="009215FC">
        <w:rPr>
          <w:rFonts w:ascii="Times New Roman" w:hAnsi="Times New Roman" w:cs="Times New Roman"/>
          <w:b/>
          <w:sz w:val="26"/>
          <w:szCs w:val="26"/>
        </w:rPr>
        <w:t>1</w:t>
      </w:r>
      <w:r w:rsidR="00763664" w:rsidRPr="009215FC">
        <w:rPr>
          <w:rFonts w:ascii="Times New Roman" w:hAnsi="Times New Roman" w:cs="Times New Roman"/>
          <w:b/>
          <w:sz w:val="26"/>
          <w:szCs w:val="26"/>
        </w:rPr>
        <w:t xml:space="preserve">). </w:t>
      </w:r>
      <w:bookmarkStart w:id="0" w:name="_GoBack"/>
      <w:bookmarkEnd w:id="0"/>
    </w:p>
    <w:sectPr w:rsidR="00763664" w:rsidRPr="0092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89"/>
    <w:rsid w:val="001E2F2B"/>
    <w:rsid w:val="001F32F7"/>
    <w:rsid w:val="002120EA"/>
    <w:rsid w:val="003511B0"/>
    <w:rsid w:val="0037257D"/>
    <w:rsid w:val="0040291E"/>
    <w:rsid w:val="004E27CF"/>
    <w:rsid w:val="005249A5"/>
    <w:rsid w:val="00573BB5"/>
    <w:rsid w:val="005C3117"/>
    <w:rsid w:val="005F0389"/>
    <w:rsid w:val="00624B94"/>
    <w:rsid w:val="006949E5"/>
    <w:rsid w:val="00763664"/>
    <w:rsid w:val="008F54E7"/>
    <w:rsid w:val="009215FC"/>
    <w:rsid w:val="00B80914"/>
    <w:rsid w:val="00CD7B71"/>
    <w:rsid w:val="00CF230B"/>
    <w:rsid w:val="00DA074A"/>
    <w:rsid w:val="00F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2684160"/>
        <c:axId val="122514432"/>
      </c:barChart>
      <c:valAx>
        <c:axId val="122514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684160"/>
        <c:crosses val="autoZero"/>
        <c:crossBetween val="between"/>
      </c:valAx>
      <c:catAx>
        <c:axId val="122684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14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0736512"/>
        <c:axId val="220742400"/>
      </c:barChart>
      <c:catAx>
        <c:axId val="22073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42400"/>
        <c:crosses val="autoZero"/>
        <c:auto val="1"/>
        <c:lblAlgn val="ctr"/>
        <c:lblOffset val="100"/>
        <c:noMultiLvlLbl val="0"/>
      </c:catAx>
      <c:valAx>
        <c:axId val="22074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3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874176"/>
        <c:axId val="180057216"/>
      </c:barChart>
      <c:catAx>
        <c:axId val="13187417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057216"/>
        <c:crosses val="autoZero"/>
        <c:auto val="1"/>
        <c:lblAlgn val="ctr"/>
        <c:lblOffset val="100"/>
        <c:tickLblSkip val="1"/>
        <c:noMultiLvlLbl val="0"/>
      </c:catAx>
      <c:valAx>
        <c:axId val="18005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8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7244416"/>
        <c:axId val="237245952"/>
      </c:barChart>
      <c:catAx>
        <c:axId val="23724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245952"/>
        <c:crosses val="autoZero"/>
        <c:auto val="1"/>
        <c:lblAlgn val="ctr"/>
        <c:lblOffset val="100"/>
        <c:noMultiLvlLbl val="0"/>
      </c:catAx>
      <c:valAx>
        <c:axId val="23724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24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8202880"/>
        <c:axId val="238204416"/>
      </c:barChart>
      <c:catAx>
        <c:axId val="238202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8204416"/>
        <c:crosses val="autoZero"/>
        <c:auto val="1"/>
        <c:lblAlgn val="ctr"/>
        <c:lblOffset val="100"/>
        <c:noMultiLvlLbl val="0"/>
      </c:catAx>
      <c:valAx>
        <c:axId val="238204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820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A43D-BCDB-4250-9D9A-8E21285D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красотка!</dc:creator>
  <cp:lastModifiedBy>Мурашкин</cp:lastModifiedBy>
  <cp:revision>2</cp:revision>
  <cp:lastPrinted>2022-08-23T12:03:00Z</cp:lastPrinted>
  <dcterms:created xsi:type="dcterms:W3CDTF">2022-08-31T10:47:00Z</dcterms:created>
  <dcterms:modified xsi:type="dcterms:W3CDTF">2022-08-31T10:47:00Z</dcterms:modified>
</cp:coreProperties>
</file>