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49"/>
        <w:gridCol w:w="1532"/>
        <w:gridCol w:w="1701"/>
        <w:gridCol w:w="1676"/>
        <w:gridCol w:w="1013"/>
        <w:gridCol w:w="2124"/>
        <w:gridCol w:w="681"/>
        <w:gridCol w:w="705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5110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Жеданин Александр Алексеевич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ФГБОУВО «Нижегородский государственный педагогический университет имени Козьмы Минина» 44.03.01 Педагогическое образование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 л. 1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 л. 1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«Веселая клюшка»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7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0"/>
          <w:szCs w:val="20"/>
          <w:lang w:bidi="ar-SA"/>
        </w:rPr>
      </w:r>
    </w:p>
    <w:p>
      <w:pPr>
        <w:pStyle w:val="Normal"/>
        <w:widowControl/>
        <w:overflowPunct w:val="tru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109</Words>
  <Characters>779</Characters>
  <CharactersWithSpaces>839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2026-03-18T11:26:56Z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