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51"/>
        <w:gridCol w:w="1532"/>
        <w:gridCol w:w="1701"/>
        <w:gridCol w:w="1674"/>
        <w:gridCol w:w="1015"/>
        <w:gridCol w:w="2122"/>
        <w:gridCol w:w="681"/>
        <w:gridCol w:w="706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2120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Хлебникова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Галина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дополнительной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общеразвивающей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программы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Высшее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высшая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ФГБОУ высшего образования «НГПУ им.К.Минина» 44.03.02 Психолого-</w:t>
              <w:softHyphen/>
              <w:t>педагогическое образование, квалификация - бакалавр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«Центр развивающих игр и методик». Семинар учителя- логопеда Нищевой Н.В. по теме «Обучение грамоте детей с 3 до 7 лет в соответствии с Федеральной Образовательной Программой», 16 часов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3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2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 л. 10 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2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7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 л. 0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«Букварик» (для детей 5-6 года жизни)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false"/>
        <w:ind w:left="0" w:hanging="0"/>
        <w:jc w:val="both"/>
        <w:rPr/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Application>LibreOffice/7.3.7.2$Linux_X86_64 LibreOffice_project/30$Build-2</Application>
  <AppVersion>15.0000</AppVersion>
  <Pages>1</Pages>
  <Words>137</Words>
  <Characters>932</Characters>
  <CharactersWithSpaces>1017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2026-03-18T10:27:42Z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