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A5" w:rsidRDefault="000605A5">
      <w:pPr>
        <w:rPr>
          <w:sz w:val="20"/>
        </w:rPr>
      </w:pPr>
      <w:bookmarkStart w:id="0" w:name="_GoBack"/>
      <w:bookmarkEnd w:id="0"/>
    </w:p>
    <w:p w:rsidR="00791F41" w:rsidRDefault="00791F41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104890" cy="8401705"/>
            <wp:effectExtent l="0" t="0" r="0" b="0"/>
            <wp:docPr id="1" name="Рисунок 1" descr="C:\Users\Краскино\Pictures\2021-04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4-15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40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F41" w:rsidRDefault="00791F41">
      <w:pPr>
        <w:rPr>
          <w:sz w:val="20"/>
        </w:rPr>
      </w:pPr>
    </w:p>
    <w:p w:rsidR="00791F41" w:rsidRDefault="00791F41">
      <w:pPr>
        <w:rPr>
          <w:sz w:val="20"/>
        </w:rPr>
      </w:pPr>
    </w:p>
    <w:p w:rsidR="00791F41" w:rsidRDefault="00791F41">
      <w:pPr>
        <w:rPr>
          <w:sz w:val="20"/>
        </w:rPr>
      </w:pPr>
    </w:p>
    <w:p w:rsidR="00791F41" w:rsidRPr="000605A5" w:rsidRDefault="00791F41">
      <w:pPr>
        <w:rPr>
          <w:sz w:val="20"/>
        </w:rPr>
      </w:pPr>
    </w:p>
    <w:p w:rsidR="001C4FC3" w:rsidRPr="000605A5" w:rsidRDefault="000605A5" w:rsidP="000605A5">
      <w:pPr>
        <w:pStyle w:val="a5"/>
        <w:numPr>
          <w:ilvl w:val="0"/>
          <w:numId w:val="3"/>
        </w:numPr>
        <w:tabs>
          <w:tab w:val="left" w:pos="975"/>
        </w:tabs>
        <w:ind w:left="984"/>
        <w:rPr>
          <w:rFonts w:ascii="Symbol" w:eastAsia="Symbol" w:hAnsi="Symbol" w:cs="Symbol"/>
          <w:sz w:val="24"/>
          <w:szCs w:val="28"/>
        </w:rPr>
      </w:pPr>
      <w:r w:rsidRPr="000605A5">
        <w:rPr>
          <w:sz w:val="24"/>
        </w:rPr>
        <w:t>з</w:t>
      </w:r>
      <w:r w:rsidR="00A70DAD" w:rsidRPr="000605A5">
        <w:rPr>
          <w:rFonts w:eastAsia="Times New Roman"/>
          <w:sz w:val="24"/>
          <w:szCs w:val="28"/>
        </w:rPr>
        <w:t>апрашивать и получать в установленном порядке у работников Учреждения,</w:t>
      </w:r>
    </w:p>
    <w:p w:rsidR="001C4FC3" w:rsidRPr="000605A5" w:rsidRDefault="001C4FC3">
      <w:pPr>
        <w:spacing w:line="36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27" w:lineRule="auto"/>
        <w:ind w:left="-30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необходимые материалы и информацию по вопросам своей деятельности;</w:t>
      </w:r>
    </w:p>
    <w:p w:rsidR="001C4FC3" w:rsidRPr="000605A5" w:rsidRDefault="001C4FC3">
      <w:pPr>
        <w:spacing w:line="33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27" w:lineRule="auto"/>
        <w:ind w:left="-300" w:right="2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 xml:space="preserve">создавать рабочие и экспертные группы по вопросам реализации </w:t>
      </w:r>
      <w:r w:rsidR="006221C2">
        <w:rPr>
          <w:rFonts w:eastAsia="Times New Roman"/>
          <w:sz w:val="24"/>
          <w:szCs w:val="28"/>
        </w:rPr>
        <w:t xml:space="preserve"> </w:t>
      </w:r>
      <w:r w:rsidRPr="000605A5">
        <w:rPr>
          <w:rFonts w:eastAsia="Times New Roman"/>
          <w:sz w:val="24"/>
          <w:szCs w:val="28"/>
        </w:rPr>
        <w:t>антикоррупционной политики с привлечением экспертов и специалистов;</w:t>
      </w:r>
    </w:p>
    <w:p w:rsidR="001C4FC3" w:rsidRPr="000605A5" w:rsidRDefault="001C4FC3">
      <w:pPr>
        <w:spacing w:line="35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31" w:lineRule="auto"/>
        <w:ind w:left="-300" w:firstLine="920"/>
        <w:jc w:val="both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заслушивать на своих заседаниях представителей рабочих и экспертных групп о результатах выполнения возложенных на них задач по вопросам реализации антикоррупционной политики;</w:t>
      </w:r>
    </w:p>
    <w:p w:rsidR="001C4FC3" w:rsidRPr="000605A5" w:rsidRDefault="001C4FC3">
      <w:pPr>
        <w:spacing w:line="36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33"/>
        </w:tabs>
        <w:spacing w:line="227" w:lineRule="auto"/>
        <w:ind w:left="-300" w:right="20" w:firstLine="92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вносить предложения по подготовке проектов локальных актов Управления</w:t>
      </w:r>
    </w:p>
    <w:p w:rsidR="001C4FC3" w:rsidRPr="000605A5" w:rsidRDefault="001C4FC3">
      <w:pPr>
        <w:spacing w:line="1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1"/>
          <w:numId w:val="2"/>
        </w:numPr>
        <w:tabs>
          <w:tab w:val="left" w:pos="820"/>
        </w:tabs>
        <w:ind w:left="820" w:hanging="20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по вопросам противодействия коррупции;</w:t>
      </w:r>
    </w:p>
    <w:p w:rsidR="001C4FC3" w:rsidRPr="000605A5" w:rsidRDefault="00A70DAD">
      <w:pPr>
        <w:numPr>
          <w:ilvl w:val="1"/>
          <w:numId w:val="2"/>
        </w:numPr>
        <w:tabs>
          <w:tab w:val="left" w:pos="820"/>
        </w:tabs>
        <w:spacing w:line="238" w:lineRule="auto"/>
        <w:ind w:left="820" w:hanging="200"/>
        <w:rPr>
          <w:rFonts w:ascii="Symbol" w:eastAsia="Symbol" w:hAnsi="Symbol" w:cs="Symbol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осуществлять иные права в пределах своей компетенции.</w:t>
      </w:r>
    </w:p>
    <w:p w:rsidR="001C4FC3" w:rsidRPr="000605A5" w:rsidRDefault="001C4FC3">
      <w:pPr>
        <w:spacing w:line="14" w:lineRule="exact"/>
        <w:rPr>
          <w:rFonts w:ascii="Symbol" w:eastAsia="Symbol" w:hAnsi="Symbol" w:cs="Symbol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576"/>
        </w:tabs>
        <w:spacing w:line="234" w:lineRule="auto"/>
        <w:ind w:left="-300" w:right="20" w:firstLine="56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Состав комиссии и положение о ее деятельности утверждаются приказом заведующего учреждением.</w:t>
      </w:r>
    </w:p>
    <w:p w:rsidR="001C4FC3" w:rsidRPr="000605A5" w:rsidRDefault="001C4FC3">
      <w:pPr>
        <w:spacing w:line="1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715"/>
        </w:tabs>
        <w:spacing w:line="235" w:lineRule="auto"/>
        <w:ind w:left="-300" w:right="20" w:firstLine="56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Основной формой работы комиссии являются заседания, которые проводятся в соответствии с планом работы комиссии по мере необходимости.</w:t>
      </w:r>
    </w:p>
    <w:p w:rsidR="001C4FC3" w:rsidRPr="000605A5" w:rsidRDefault="001C4FC3">
      <w:pPr>
        <w:spacing w:line="1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583"/>
        </w:tabs>
        <w:spacing w:line="234" w:lineRule="auto"/>
        <w:ind w:left="-300" w:right="20" w:firstLine="560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Заседание комиссии ведет председатель комиссии или по его поручению заместитель председателя комиссии.</w:t>
      </w:r>
    </w:p>
    <w:p w:rsidR="001C4FC3" w:rsidRPr="000605A5" w:rsidRDefault="001C4FC3">
      <w:pPr>
        <w:spacing w:line="15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607"/>
        </w:tabs>
        <w:spacing w:line="237" w:lineRule="auto"/>
        <w:ind w:left="-300" w:firstLine="560"/>
        <w:jc w:val="both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Заседание комиссии считается правомочным, если на нем присутствует более половины ее членов. Члены комиссии участвуют в ее заседании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1C4FC3" w:rsidRPr="000605A5" w:rsidRDefault="001C4FC3">
      <w:pPr>
        <w:spacing w:line="17" w:lineRule="exact"/>
        <w:rPr>
          <w:rFonts w:eastAsia="Times New Roman"/>
          <w:sz w:val="24"/>
          <w:szCs w:val="28"/>
        </w:rPr>
      </w:pPr>
    </w:p>
    <w:p w:rsidR="001C4FC3" w:rsidRPr="000605A5" w:rsidRDefault="00A70DAD">
      <w:pPr>
        <w:numPr>
          <w:ilvl w:val="0"/>
          <w:numId w:val="2"/>
        </w:numPr>
        <w:tabs>
          <w:tab w:val="left" w:pos="693"/>
        </w:tabs>
        <w:spacing w:line="237" w:lineRule="auto"/>
        <w:ind w:left="-300" w:right="20" w:firstLine="560"/>
        <w:jc w:val="both"/>
        <w:rPr>
          <w:rFonts w:eastAsia="Times New Roman"/>
          <w:sz w:val="24"/>
          <w:szCs w:val="28"/>
        </w:rPr>
      </w:pPr>
      <w:r w:rsidRPr="000605A5">
        <w:rPr>
          <w:rFonts w:eastAsia="Times New Roman"/>
          <w:sz w:val="24"/>
          <w:szCs w:val="28"/>
        </w:rPr>
        <w:t>Решение комиссии принимается простым большинством голосов от числа присутствующих на заседании и оформляется протоколом, который подписывает председательствующий на заседании комиссии и секретарь комиссии. При равенстве голосов голос председательствующего является решающим.</w:t>
      </w:r>
    </w:p>
    <w:p w:rsidR="001C4FC3" w:rsidRPr="000605A5" w:rsidRDefault="001C4FC3">
      <w:pPr>
        <w:spacing w:line="14" w:lineRule="exact"/>
        <w:rPr>
          <w:rFonts w:eastAsia="Times New Roman"/>
          <w:sz w:val="24"/>
          <w:szCs w:val="28"/>
        </w:rPr>
      </w:pPr>
    </w:p>
    <w:p w:rsidR="00931B62" w:rsidRPr="00931B62" w:rsidRDefault="00A70DAD">
      <w:pPr>
        <w:numPr>
          <w:ilvl w:val="0"/>
          <w:numId w:val="2"/>
        </w:numPr>
        <w:tabs>
          <w:tab w:val="left" w:pos="765"/>
        </w:tabs>
        <w:spacing w:line="234" w:lineRule="auto"/>
        <w:ind w:left="-300" w:firstLine="560"/>
        <w:jc w:val="both"/>
        <w:rPr>
          <w:rFonts w:eastAsia="Times New Roman"/>
          <w:vanish/>
          <w:sz w:val="24"/>
          <w:szCs w:val="28"/>
          <w:specVanish/>
        </w:rPr>
      </w:pPr>
      <w:r w:rsidRPr="000605A5">
        <w:rPr>
          <w:rFonts w:eastAsia="Times New Roman"/>
          <w:sz w:val="24"/>
          <w:szCs w:val="28"/>
        </w:rPr>
        <w:t>Секретарь комиссии осуществляет текущую организационную работу, ведет документацию, извещает членов комиссии и приглашенных на ее заседание.</w:t>
      </w:r>
    </w:p>
    <w:p w:rsidR="00931B62" w:rsidRDefault="00931B62" w:rsidP="00931B62">
      <w:pPr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 </w:t>
      </w:r>
    </w:p>
    <w:p w:rsidR="00931B62" w:rsidRDefault="00931B62" w:rsidP="00931B62">
      <w:pPr>
        <w:rPr>
          <w:rFonts w:eastAsia="Times New Roman"/>
          <w:sz w:val="24"/>
          <w:szCs w:val="28"/>
        </w:rPr>
      </w:pPr>
    </w:p>
    <w:p w:rsidR="00C8553A" w:rsidRDefault="00C8553A" w:rsidP="00931B62">
      <w:pPr>
        <w:rPr>
          <w:rFonts w:eastAsia="Times New Roman"/>
          <w:sz w:val="24"/>
          <w:szCs w:val="28"/>
        </w:rPr>
      </w:pPr>
    </w:p>
    <w:p w:rsidR="00931B62" w:rsidRDefault="00931B62" w:rsidP="00931B62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1C4FC3" w:rsidRPr="000605A5" w:rsidRDefault="001C4FC3" w:rsidP="00931B62">
      <w:pPr>
        <w:rPr>
          <w:rFonts w:eastAsia="Times New Roman"/>
          <w:sz w:val="24"/>
          <w:szCs w:val="28"/>
        </w:rPr>
      </w:pPr>
    </w:p>
    <w:sectPr w:rsidR="001C4FC3" w:rsidRPr="000605A5" w:rsidSect="006D511E">
      <w:pgSz w:w="11900" w:h="16838"/>
      <w:pgMar w:top="116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496E7256"/>
    <w:lvl w:ilvl="0" w:tplc="61DA8010">
      <w:numFmt w:val="decimal"/>
      <w:lvlText w:val="%1."/>
      <w:lvlJc w:val="left"/>
    </w:lvl>
    <w:lvl w:ilvl="1" w:tplc="55425878">
      <w:start w:val="1"/>
      <w:numFmt w:val="bullet"/>
      <w:lvlText w:val=""/>
      <w:lvlJc w:val="left"/>
    </w:lvl>
    <w:lvl w:ilvl="2" w:tplc="B16AAE7C">
      <w:start w:val="1"/>
      <w:numFmt w:val="bullet"/>
      <w:lvlText w:val="о"/>
      <w:lvlJc w:val="left"/>
      <w:rPr>
        <w:b/>
      </w:rPr>
    </w:lvl>
    <w:lvl w:ilvl="3" w:tplc="C214EB78">
      <w:start w:val="1"/>
      <w:numFmt w:val="bullet"/>
      <w:lvlText w:val="в"/>
      <w:lvlJc w:val="left"/>
    </w:lvl>
    <w:lvl w:ilvl="4" w:tplc="EBE8DE04">
      <w:numFmt w:val="decimal"/>
      <w:lvlText w:val=""/>
      <w:lvlJc w:val="left"/>
    </w:lvl>
    <w:lvl w:ilvl="5" w:tplc="E94CC7CA">
      <w:numFmt w:val="decimal"/>
      <w:lvlText w:val=""/>
      <w:lvlJc w:val="left"/>
    </w:lvl>
    <w:lvl w:ilvl="6" w:tplc="32903700">
      <w:numFmt w:val="decimal"/>
      <w:lvlText w:val=""/>
      <w:lvlJc w:val="left"/>
    </w:lvl>
    <w:lvl w:ilvl="7" w:tplc="8CD42516">
      <w:numFmt w:val="decimal"/>
      <w:lvlText w:val=""/>
      <w:lvlJc w:val="left"/>
    </w:lvl>
    <w:lvl w:ilvl="8" w:tplc="0246A43C">
      <w:numFmt w:val="decimal"/>
      <w:lvlText w:val=""/>
      <w:lvlJc w:val="left"/>
    </w:lvl>
  </w:abstractNum>
  <w:abstractNum w:abstractNumId="1">
    <w:nsid w:val="00006784"/>
    <w:multiLevelType w:val="hybridMultilevel"/>
    <w:tmpl w:val="033A234E"/>
    <w:lvl w:ilvl="0" w:tplc="B958143A">
      <w:start w:val="5"/>
      <w:numFmt w:val="decimal"/>
      <w:lvlText w:val="%1."/>
      <w:lvlJc w:val="left"/>
    </w:lvl>
    <w:lvl w:ilvl="1" w:tplc="55843DFE">
      <w:start w:val="1"/>
      <w:numFmt w:val="bullet"/>
      <w:lvlText w:val=""/>
      <w:lvlJc w:val="left"/>
    </w:lvl>
    <w:lvl w:ilvl="2" w:tplc="A5A66EBA">
      <w:numFmt w:val="decimal"/>
      <w:lvlText w:val=""/>
      <w:lvlJc w:val="left"/>
    </w:lvl>
    <w:lvl w:ilvl="3" w:tplc="3F6221CE">
      <w:numFmt w:val="decimal"/>
      <w:lvlText w:val=""/>
      <w:lvlJc w:val="left"/>
    </w:lvl>
    <w:lvl w:ilvl="4" w:tplc="54B6440C">
      <w:numFmt w:val="decimal"/>
      <w:lvlText w:val=""/>
      <w:lvlJc w:val="left"/>
    </w:lvl>
    <w:lvl w:ilvl="5" w:tplc="D39CA68C">
      <w:numFmt w:val="decimal"/>
      <w:lvlText w:val=""/>
      <w:lvlJc w:val="left"/>
    </w:lvl>
    <w:lvl w:ilvl="6" w:tplc="B412B3D0">
      <w:numFmt w:val="decimal"/>
      <w:lvlText w:val=""/>
      <w:lvlJc w:val="left"/>
    </w:lvl>
    <w:lvl w:ilvl="7" w:tplc="A9EC7776">
      <w:numFmt w:val="decimal"/>
      <w:lvlText w:val=""/>
      <w:lvlJc w:val="left"/>
    </w:lvl>
    <w:lvl w:ilvl="8" w:tplc="7838A156">
      <w:numFmt w:val="decimal"/>
      <w:lvlText w:val=""/>
      <w:lvlJc w:val="left"/>
    </w:lvl>
  </w:abstractNum>
  <w:abstractNum w:abstractNumId="2">
    <w:nsid w:val="174739D6"/>
    <w:multiLevelType w:val="hybridMultilevel"/>
    <w:tmpl w:val="140458BE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FC3"/>
    <w:rsid w:val="00024009"/>
    <w:rsid w:val="000605A5"/>
    <w:rsid w:val="0008737B"/>
    <w:rsid w:val="0009481E"/>
    <w:rsid w:val="0014250D"/>
    <w:rsid w:val="001C4FC3"/>
    <w:rsid w:val="006221C2"/>
    <w:rsid w:val="006D511E"/>
    <w:rsid w:val="006D5AD9"/>
    <w:rsid w:val="00791F41"/>
    <w:rsid w:val="00931B62"/>
    <w:rsid w:val="009807A6"/>
    <w:rsid w:val="00A70DAD"/>
    <w:rsid w:val="00C01163"/>
    <w:rsid w:val="00C8553A"/>
    <w:rsid w:val="00D93F5E"/>
    <w:rsid w:val="00EA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605A5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605A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31B6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1B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0605A5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6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Краскино</cp:lastModifiedBy>
  <cp:revision>12</cp:revision>
  <cp:lastPrinted>2021-04-15T00:51:00Z</cp:lastPrinted>
  <dcterms:created xsi:type="dcterms:W3CDTF">2021-03-30T05:43:00Z</dcterms:created>
  <dcterms:modified xsi:type="dcterms:W3CDTF">2021-04-15T04:29:00Z</dcterms:modified>
</cp:coreProperties>
</file>