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begin"/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instrText>HYPERLINK "http://ivo.garant.ru/document?id=70364980&amp;sub=0"</w:instrText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separate"/>
      </w:r>
      <w:r w:rsidRPr="00914D6A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>Приказ Министерства образования и науки РФ от 30 августа 2013 г. N 1014</w:t>
      </w:r>
      <w:r w:rsidRPr="00914D6A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end"/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>от</w:t>
      </w:r>
      <w:proofErr w:type="gramEnd"/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>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Theme="minorEastAsia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914D6A">
        <w:rPr>
          <w:rFonts w:ascii="Times New Roman CYR" w:eastAsiaTheme="minorEastAsia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21 января 2019 г.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 </w:t>
      </w:r>
      <w:hyperlink r:id="rId5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11 статьи 13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11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Утвердить прилагаемый </w:t>
      </w:r>
      <w:hyperlink w:anchor="sub_1000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Порядок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12"/>
      <w:bookmarkEnd w:id="0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Признать утратившим силу </w:t>
      </w:r>
      <w:hyperlink r:id="rId6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Министерства образования и науки Российской Федерации от 27 октября 2011 г. N 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 г., регистрационный N 22946).</w:t>
      </w:r>
    </w:p>
    <w:bookmarkEnd w:id="1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914D6A" w:rsidRPr="00914D6A" w:rsidTr="00146879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914D6A" w:rsidRPr="00914D6A" w:rsidRDefault="00914D6A" w:rsidP="00914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14D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914D6A" w:rsidRPr="00914D6A" w:rsidRDefault="00914D6A" w:rsidP="00914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14D6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Н.В. Третьяк</w:t>
            </w:r>
          </w:p>
        </w:tc>
      </w:tr>
    </w:tbl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Зарегистрировано в Минюсте РФ 26 сентября 2013 г.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Регистрационный N 30038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000"/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</w:t>
      </w:r>
    </w:p>
    <w:bookmarkEnd w:id="2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Порядок</w:t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(утв. </w:t>
      </w:r>
      <w:hyperlink w:anchor="sub_0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Министерства образования и науки РФ от 30 августа 2013 г. N 1014)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>от</w:t>
      </w:r>
      <w:proofErr w:type="gramEnd"/>
      <w:r w:rsidRPr="00914D6A">
        <w:rPr>
          <w:rFonts w:ascii="Times New Roman CYR" w:eastAsiaTheme="minorEastAsia" w:hAnsi="Times New Roman CYR" w:cs="Times New Roman CYR"/>
          <w:b/>
          <w:bCs/>
          <w:color w:val="353842"/>
          <w:sz w:val="20"/>
          <w:szCs w:val="20"/>
          <w:lang w:eastAsia="ru-RU"/>
        </w:rPr>
        <w:t>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Theme="minorEastAsia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914D6A">
        <w:rPr>
          <w:rFonts w:ascii="Times New Roman CYR" w:eastAsiaTheme="minorEastAsia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21 января 2019 г.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1001"/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I. Общие положения</w:t>
      </w:r>
    </w:p>
    <w:bookmarkEnd w:id="3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5" w:name="sub_2"/>
      <w:bookmarkEnd w:id="4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5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2 изменен с 6 апреля 2019 г. - </w:t>
      </w:r>
      <w:hyperlink r:id="rId7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8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</w:t>
      </w: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образовательные программы дошкольного образования, в том числе адаптированные образовательные программы дошкольного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образования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включая индивидуальных предпринимателей (далее - образовательная организация).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" w:name="sub_1002"/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bookmarkEnd w:id="6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3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8" w:name="sub_4"/>
      <w:bookmarkEnd w:id="7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8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4 изменен с 6 апреля 2019 г. - </w:t>
      </w:r>
      <w:hyperlink r:id="rId9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0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hyperlink w:anchor="sub_1111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*(1)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hyperlink w:anchor="sub_2222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*(2)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5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hyperlink w:anchor="sub_3333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*(3)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6"/>
      <w:bookmarkEnd w:id="9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7"/>
      <w:bookmarkEnd w:id="10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8"/>
      <w:bookmarkEnd w:id="1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9"/>
      <w:bookmarkEnd w:id="1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0"/>
      <w:bookmarkEnd w:id="13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bookmarkEnd w:id="14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hyperlink w:anchor="sub_4444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*(4)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5" w:name="sub_11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5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11 изменен с 6 апреля 2019 г. - </w:t>
      </w:r>
      <w:hyperlink r:id="rId11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2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</w:t>
      </w: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образования и на основании заявления родителей (законных представителей).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hyperlink w:anchor="sub_5555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1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hyperlink w:anchor="sub_6666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*(6)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7" w:name="sub_13"/>
      <w:bookmarkEnd w:id="16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17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13 изменен с 6 апреля 2019 г. - </w:t>
      </w:r>
      <w:hyperlink r:id="rId13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4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134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bookmarkEnd w:id="18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9" w:name="sub_136"/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bookmarkEnd w:id="19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sub_139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1310"/>
      <w:bookmarkEnd w:id="20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bookmarkEnd w:id="21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22" w:name="sub_14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22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lastRenderedPageBreak/>
        <w:t xml:space="preserve">Пункт 14 изменен с 6 апреля 2019 г. - </w:t>
      </w:r>
      <w:hyperlink r:id="rId15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6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14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15"/>
      <w:bookmarkEnd w:id="23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15.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  <w:hyperlink w:anchor="sub_7777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*(7)</w:t>
        </w:r>
      </w:hyperlink>
    </w:p>
    <w:bookmarkEnd w:id="24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5" w:name="sub_1003"/>
      <w:r w:rsidRPr="00914D6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III. Особенности организация образовательной деятельности для лиц с ограниченными возможностями здоровья</w:t>
      </w:r>
    </w:p>
    <w:bookmarkEnd w:id="25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26" w:name="sub_16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26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16 изменен с 6 апреля 2019 г. - </w:t>
      </w:r>
      <w:hyperlink r:id="rId17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8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абилитации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ребенка-инвалида.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hyperlink w:anchor="sub_8888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*(8)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7" w:name="sub_17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hyperlink w:anchor="sub_9999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*(9)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18"/>
      <w:bookmarkEnd w:id="27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18.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hyperlink w:anchor="sub_1010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*(10)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9" w:name="sub_19"/>
      <w:bookmarkEnd w:id="28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0" w:name="sub_191"/>
      <w:bookmarkEnd w:id="29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bookmarkEnd w:id="30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присутствие ассистента, оказывающего ребенку необходимую помощь;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1" w:name="sub_19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bookmarkEnd w:id="31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2" w:name="sub_193"/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33" w:name="sub_20"/>
      <w:bookmarkEnd w:id="32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33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20 изменен с 6 апреля 2019 г. - Приказ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19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hyperlink w:anchor="sub_1011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*(11)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4" w:name="sub_20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Количество детей в группах компенсирующей направленности не должно превышать: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5" w:name="sub_203"/>
      <w:bookmarkEnd w:id="34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bookmarkEnd w:id="35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для детей с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амблиопией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для детей с задержкой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психоречевого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развития - 6 детей в возрасте до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6" w:name="sub_203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в возрасте до 3 лет - не более 10 детей, в том числе не более 3 детей с ограниченными возможностями здоровья;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7" w:name="sub_2032"/>
      <w:bookmarkEnd w:id="36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в возрасте старше 3 лет:</w:t>
      </w:r>
    </w:p>
    <w:bookmarkEnd w:id="37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амблиопией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не более 17 детей, в том числе не более 5 детей с задержкой психического развития, для </w:t>
      </w: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детей с фонетико-фонематическими нарушениями речи.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38" w:name="sub_21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38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Пункт 21 изменен с 6 апреля 2019 г. - </w:t>
      </w:r>
      <w:hyperlink r:id="rId20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Приказ</w:t>
        </w:r>
      </w:hyperlink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21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тьютор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ассистент (помощник) на каждую группу: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детей с нарушениями зрения (слепых, слабовидящих, с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амблиопией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олигофренопедагогога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олигофренопедагогога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олигофренопедагогога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тьютора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тьютор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ассистент (помощник) из расчета 1 штатная единица: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учителя-дефектолога (сурдопедагога, тифлопедагога,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олигофренопедагога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на каждые 5-12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учителя-логопеда на каждые 5-12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педагога-психолога на каждые 20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тьютора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каждые 1-5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ассистента (помощника) на каждые 1-5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обучающихся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9" w:name="sub_2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обучение по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</w:t>
      </w:r>
      <w:hyperlink w:anchor="sub_1013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*(12)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bookmarkEnd w:id="39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обучения по</w:t>
      </w:r>
      <w:proofErr w:type="gram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hyperlink w:anchor="sub_1014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*(13)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40" w:name="sub_1111"/>
      <w:r w:rsidRPr="00914D6A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bookmarkEnd w:id="40"/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Сноски изменены с 6 апреля 2019 г. - Приказ </w:t>
      </w:r>
      <w:proofErr w:type="spellStart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>Минпросвещения</w:t>
      </w:r>
      <w:proofErr w:type="spellEnd"/>
      <w:r w:rsidRPr="00914D6A"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России от 21 января 2019 г. N 32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hyperlink r:id="rId22" w:history="1">
        <w:r w:rsidRPr="00914D6A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*(1) </w:t>
      </w:r>
      <w:hyperlink r:id="rId23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63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1" w:name="sub_222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*(2) </w:t>
      </w:r>
      <w:hyperlink r:id="rId24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5 статьи 63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2" w:name="sub_3333"/>
      <w:bookmarkEnd w:id="4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*(3) </w:t>
      </w:r>
      <w:hyperlink r:id="rId25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1 статьи 15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3" w:name="sub_4444"/>
      <w:bookmarkEnd w:id="42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*(4) </w:t>
      </w:r>
      <w:hyperlink r:id="rId26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6 статьи 12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2013 г. N 273-ФЗ "Об образовании в Российской Федерации" (Собрание законодательства Российской Федерации, 2012, N 53, ст. 7598,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4" w:name="sub_5555"/>
      <w:bookmarkEnd w:id="43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*(5) </w:t>
      </w:r>
      <w:hyperlink r:id="rId27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5 статьи 14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5" w:name="sub_6666"/>
      <w:bookmarkEnd w:id="44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*(6) </w:t>
      </w:r>
      <w:hyperlink r:id="rId28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2 статьи 64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6" w:name="sub_7777"/>
      <w:bookmarkEnd w:id="45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*(7) </w:t>
      </w:r>
      <w:hyperlink r:id="rId29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64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7" w:name="sub_8888"/>
      <w:bookmarkEnd w:id="46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*(8) </w:t>
      </w:r>
      <w:hyperlink r:id="rId30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 21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приказа </w:t>
      </w:r>
      <w:proofErr w:type="spellStart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Минобрнауки</w:t>
      </w:r>
      <w:proofErr w:type="spellEnd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8" w:name="sub_9999"/>
      <w:bookmarkEnd w:id="47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*(9) </w:t>
      </w:r>
      <w:hyperlink r:id="rId31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10 статьи 79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9" w:name="sub_1010"/>
      <w:bookmarkEnd w:id="48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*(10) </w:t>
      </w:r>
      <w:hyperlink r:id="rId32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79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</w:t>
      </w:r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0" w:name="sub_1011"/>
      <w:bookmarkEnd w:id="49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*(11) </w:t>
      </w:r>
      <w:hyperlink r:id="rId33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79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1" w:name="sub_1013"/>
      <w:bookmarkEnd w:id="50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*(12) </w:t>
      </w:r>
      <w:hyperlink r:id="rId34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5 статьи 41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19, ст. 2326).</w:t>
      </w:r>
    </w:p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2" w:name="sub_1014"/>
      <w:bookmarkEnd w:id="51"/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*(13) </w:t>
      </w:r>
      <w:hyperlink r:id="rId35" w:history="1">
        <w:r w:rsidRPr="00914D6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6 статьи 41</w:t>
        </w:r>
      </w:hyperlink>
      <w:r w:rsidRPr="00914D6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 N 53, ст. 7598; 2013, N 19, ст. 2326).</w:t>
      </w:r>
    </w:p>
    <w:bookmarkEnd w:id="52"/>
    <w:p w:rsidR="00914D6A" w:rsidRPr="00914D6A" w:rsidRDefault="00914D6A" w:rsidP="00914D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14D6A" w:rsidRDefault="00914D6A">
      <w:bookmarkStart w:id="53" w:name="_GoBack"/>
      <w:bookmarkEnd w:id="53"/>
    </w:p>
    <w:sectPr w:rsidR="00914D6A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6A"/>
    <w:rsid w:val="009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72105522&amp;sub=1007" TargetMode="External"/><Relationship Id="rId18" Type="http://schemas.openxmlformats.org/officeDocument/2006/relationships/hyperlink" Target="http://ivo.garant.ru/document?id=77580569&amp;sub=16" TargetMode="External"/><Relationship Id="rId26" Type="http://schemas.openxmlformats.org/officeDocument/2006/relationships/hyperlink" Target="http://ivo.garant.ru/document?id=70191362&amp;sub=108170" TargetMode="External"/><Relationship Id="rId21" Type="http://schemas.openxmlformats.org/officeDocument/2006/relationships/hyperlink" Target="http://ivo.garant.ru/document?id=77580569&amp;sub=21" TargetMode="External"/><Relationship Id="rId34" Type="http://schemas.openxmlformats.org/officeDocument/2006/relationships/hyperlink" Target="http://ivo.garant.ru/document?id=70191362&amp;sub=108498" TargetMode="External"/><Relationship Id="rId7" Type="http://schemas.openxmlformats.org/officeDocument/2006/relationships/hyperlink" Target="http://ivo.garant.ru/document?id=72105522&amp;sub=1001" TargetMode="External"/><Relationship Id="rId12" Type="http://schemas.openxmlformats.org/officeDocument/2006/relationships/hyperlink" Target="http://ivo.garant.ru/document?id=77580569&amp;sub=11" TargetMode="External"/><Relationship Id="rId17" Type="http://schemas.openxmlformats.org/officeDocument/2006/relationships/hyperlink" Target="http://ivo.garant.ru/document?id=72105522&amp;sub=1009" TargetMode="External"/><Relationship Id="rId25" Type="http://schemas.openxmlformats.org/officeDocument/2006/relationships/hyperlink" Target="http://ivo.garant.ru/document?id=70191362&amp;sub=108197" TargetMode="External"/><Relationship Id="rId33" Type="http://schemas.openxmlformats.org/officeDocument/2006/relationships/hyperlink" Target="http://ivo.garant.ru/document?id=70191362&amp;sub=1089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document?id=77580569&amp;sub=14" TargetMode="External"/><Relationship Id="rId20" Type="http://schemas.openxmlformats.org/officeDocument/2006/relationships/hyperlink" Target="http://ivo.garant.ru/document?id=72105522&amp;sub=1013" TargetMode="External"/><Relationship Id="rId29" Type="http://schemas.openxmlformats.org/officeDocument/2006/relationships/hyperlink" Target="http://ivo.garant.ru/document?id=70191362&amp;sub=108762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019644&amp;sub=0" TargetMode="External"/><Relationship Id="rId11" Type="http://schemas.openxmlformats.org/officeDocument/2006/relationships/hyperlink" Target="http://ivo.garant.ru/document?id=72105522&amp;sub=1005" TargetMode="External"/><Relationship Id="rId24" Type="http://schemas.openxmlformats.org/officeDocument/2006/relationships/hyperlink" Target="http://ivo.garant.ru/document?id=70191362&amp;sub=108759" TargetMode="External"/><Relationship Id="rId32" Type="http://schemas.openxmlformats.org/officeDocument/2006/relationships/hyperlink" Target="http://ivo.garant.ru/document?id=70191362&amp;sub=10890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vo.garant.ru/document?id=70191362&amp;sub=108190" TargetMode="External"/><Relationship Id="rId15" Type="http://schemas.openxmlformats.org/officeDocument/2006/relationships/hyperlink" Target="http://ivo.garant.ru/document?id=72105522&amp;sub=1008" TargetMode="External"/><Relationship Id="rId23" Type="http://schemas.openxmlformats.org/officeDocument/2006/relationships/hyperlink" Target="http://ivo.garant.ru/document?id=70191362&amp;sub=108758" TargetMode="External"/><Relationship Id="rId28" Type="http://schemas.openxmlformats.org/officeDocument/2006/relationships/hyperlink" Target="http://ivo.garant.ru/document?id=70191362&amp;sub=10876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?id=77580569&amp;sub=4" TargetMode="External"/><Relationship Id="rId19" Type="http://schemas.openxmlformats.org/officeDocument/2006/relationships/hyperlink" Target="http://ivo.garant.ru/document?id=77580569&amp;sub=20" TargetMode="External"/><Relationship Id="rId31" Type="http://schemas.openxmlformats.org/officeDocument/2006/relationships/hyperlink" Target="http://ivo.garant.ru/document?id=70191362&amp;sub=108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2105522&amp;sub=1002" TargetMode="External"/><Relationship Id="rId14" Type="http://schemas.openxmlformats.org/officeDocument/2006/relationships/hyperlink" Target="http://ivo.garant.ru/document?id=77580569&amp;sub=13" TargetMode="External"/><Relationship Id="rId22" Type="http://schemas.openxmlformats.org/officeDocument/2006/relationships/hyperlink" Target="http://ivo.garant.ru/document?id=77580569&amp;sub=1111" TargetMode="External"/><Relationship Id="rId27" Type="http://schemas.openxmlformats.org/officeDocument/2006/relationships/hyperlink" Target="http://ivo.garant.ru/document?id=70191362&amp;sub=108195" TargetMode="External"/><Relationship Id="rId30" Type="http://schemas.openxmlformats.org/officeDocument/2006/relationships/hyperlink" Target="http://ivo.garant.ru/document?id=70385996&amp;sub=1021" TargetMode="External"/><Relationship Id="rId35" Type="http://schemas.openxmlformats.org/officeDocument/2006/relationships/hyperlink" Target="http://ivo.garant.ru/document?id=70191362&amp;sub=108499" TargetMode="External"/><Relationship Id="rId8" Type="http://schemas.openxmlformats.org/officeDocument/2006/relationships/hyperlink" Target="http://ivo.garant.ru/document?id=77580569&amp;sub=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3848</Words>
  <Characters>21934</Characters>
  <Application>Microsoft Office Word</Application>
  <DocSecurity>0</DocSecurity>
  <Lines>182</Lines>
  <Paragraphs>51</Paragraphs>
  <ScaleCrop>false</ScaleCrop>
  <Company/>
  <LinksUpToDate>false</LinksUpToDate>
  <CharactersWithSpaces>25731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2021-04-09T00:28:00Z</dcterms:created>
  <dcterms:modified xsi:type="dcterms:W3CDTF">2021-04-09T00:28:00Z</dcterms:modified>
</cp:coreProperties>
</file>