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EF33D" w14:textId="6A792CA6" w:rsidR="00E340F9" w:rsidRPr="00E340F9" w:rsidRDefault="00E340F9" w:rsidP="00E340F9">
      <w:pPr>
        <w:ind w:hanging="709"/>
        <w:jc w:val="center"/>
      </w:pPr>
      <w:r w:rsidRPr="00E340F9">
        <w:drawing>
          <wp:inline distT="0" distB="0" distL="0" distR="0" wp14:anchorId="498919B2" wp14:editId="3E388035">
            <wp:extent cx="6567796" cy="4914900"/>
            <wp:effectExtent l="0" t="0" r="5080" b="0"/>
            <wp:docPr id="4" name="Рисунок 4" descr="Формирование навыков звукового  анализа и синтеза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ирование навыков звукового  анализа и синтеза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946" cy="492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ADCC" w14:textId="5C52ECDF" w:rsidR="00E340F9" w:rsidRP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t>При обучении как письму, так и чтению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</w:t>
      </w:r>
    </w:p>
    <w:p w14:paraId="7F409D4B" w14:textId="1ED5C729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t>Формирование навыков звукового анализа и синтеза у дошкольников предусматривает:</w:t>
      </w:r>
      <w:r w:rsidRPr="00E340F9">
        <w:rPr>
          <w:rFonts w:ascii="Times New Roman" w:hAnsi="Times New Roman" w:cs="Times New Roman"/>
          <w:sz w:val="36"/>
          <w:szCs w:val="28"/>
        </w:rPr>
        <w:br/>
        <w:t>-высокую эффективность обучения,</w:t>
      </w:r>
      <w:r w:rsidRPr="00E340F9">
        <w:rPr>
          <w:rFonts w:ascii="Times New Roman" w:hAnsi="Times New Roman" w:cs="Times New Roman"/>
          <w:sz w:val="36"/>
          <w:szCs w:val="28"/>
        </w:rPr>
        <w:br/>
        <w:t>-использование специальной  зрительной символики,</w:t>
      </w:r>
      <w:r w:rsidRPr="00E340F9">
        <w:rPr>
          <w:rFonts w:ascii="Times New Roman" w:hAnsi="Times New Roman" w:cs="Times New Roman"/>
          <w:sz w:val="36"/>
          <w:szCs w:val="28"/>
        </w:rPr>
        <w:br/>
        <w:t>-повышение сложности заданий по сравнению с традиционно применяемыми,</w:t>
      </w:r>
      <w:r w:rsidRPr="00E340F9">
        <w:rPr>
          <w:rFonts w:ascii="Times New Roman" w:hAnsi="Times New Roman" w:cs="Times New Roman"/>
          <w:sz w:val="36"/>
          <w:szCs w:val="28"/>
        </w:rPr>
        <w:br/>
        <w:t>-наличие определенного стартового порога развития фонематического восприятия,</w:t>
      </w:r>
      <w:r w:rsidRPr="00E340F9">
        <w:rPr>
          <w:rFonts w:ascii="Times New Roman" w:hAnsi="Times New Roman" w:cs="Times New Roman"/>
          <w:sz w:val="36"/>
          <w:szCs w:val="28"/>
        </w:rPr>
        <w:br/>
        <w:t>-обучение на материале правильно произносимых звуков, </w:t>
      </w:r>
      <w:r w:rsidRPr="00E340F9">
        <w:rPr>
          <w:rFonts w:ascii="Times New Roman" w:hAnsi="Times New Roman" w:cs="Times New Roman"/>
          <w:sz w:val="36"/>
          <w:szCs w:val="28"/>
        </w:rPr>
        <w:br/>
        <w:t>-включение в каждое упражнение значительного количества слов,</w:t>
      </w:r>
      <w:r w:rsidRPr="00E340F9">
        <w:rPr>
          <w:rFonts w:ascii="Times New Roman" w:hAnsi="Times New Roman" w:cs="Times New Roman"/>
          <w:sz w:val="36"/>
          <w:szCs w:val="28"/>
        </w:rPr>
        <w:br/>
        <w:t>-новый способ обозначения позиции звука в слове, </w:t>
      </w:r>
      <w:r w:rsidRPr="00E340F9">
        <w:rPr>
          <w:rFonts w:ascii="Times New Roman" w:hAnsi="Times New Roman" w:cs="Times New Roman"/>
          <w:sz w:val="36"/>
          <w:szCs w:val="28"/>
        </w:rPr>
        <w:br/>
        <w:t>-развитие внимания и памяти в ходе выполнения основных задач.</w:t>
      </w:r>
    </w:p>
    <w:p w14:paraId="42594490" w14:textId="77777777" w:rsidR="00E340F9" w:rsidRPr="00E340F9" w:rsidRDefault="00E340F9" w:rsidP="00E340F9">
      <w:pPr>
        <w:spacing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14:paraId="6CDF4446" w14:textId="24EBE8D7" w:rsidR="00E340F9" w:rsidRP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lastRenderedPageBreak/>
        <w:t xml:space="preserve">При выборе условных обозначений для гласных звуков непосредственная опора направлена на сиюминутное зрительное восприятие. Для этого взрослому достаточно обратить внимание ребенка на положение губ при артикуляции соответствующего гласного звука и соотнести каждую </w:t>
      </w:r>
      <w:proofErr w:type="spellStart"/>
      <w:r w:rsidRPr="00E340F9">
        <w:rPr>
          <w:rFonts w:ascii="Times New Roman" w:hAnsi="Times New Roman" w:cs="Times New Roman"/>
          <w:sz w:val="36"/>
          <w:szCs w:val="28"/>
        </w:rPr>
        <w:t>артикулемму</w:t>
      </w:r>
      <w:proofErr w:type="spellEnd"/>
      <w:r w:rsidRPr="00E340F9">
        <w:rPr>
          <w:rFonts w:ascii="Times New Roman" w:hAnsi="Times New Roman" w:cs="Times New Roman"/>
          <w:sz w:val="36"/>
          <w:szCs w:val="28"/>
        </w:rPr>
        <w:t xml:space="preserve"> со знакомыми детям геометрическими формами.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bookmarkStart w:id="0" w:name="_GoBack"/>
      <w:bookmarkEnd w:id="0"/>
      <w:proofErr w:type="gramStart"/>
      <w:r w:rsidRPr="00E340F9">
        <w:rPr>
          <w:rFonts w:ascii="Times New Roman" w:hAnsi="Times New Roman" w:cs="Times New Roman"/>
          <w:sz w:val="36"/>
          <w:szCs w:val="28"/>
        </w:rPr>
        <w:t>Символы</w:t>
      </w:r>
      <w:proofErr w:type="gramEnd"/>
      <w:r w:rsidRPr="00E340F9">
        <w:rPr>
          <w:rFonts w:ascii="Times New Roman" w:hAnsi="Times New Roman" w:cs="Times New Roman"/>
          <w:sz w:val="36"/>
          <w:szCs w:val="28"/>
        </w:rPr>
        <w:t xml:space="preserve"> гласных звуков рекомендуется раскрасить (совместно с ребенком) в традиционный для них красный цвет.</w:t>
      </w:r>
    </w:p>
    <w:p w14:paraId="4C4B1F59" w14:textId="7FA265AA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drawing>
          <wp:anchor distT="0" distB="0" distL="114300" distR="114300" simplePos="0" relativeHeight="251658240" behindDoc="0" locked="0" layoutInCell="1" allowOverlap="1" wp14:anchorId="2BAB91EA" wp14:editId="14232FC2">
            <wp:simplePos x="0" y="0"/>
            <wp:positionH relativeFrom="margin">
              <wp:align>center</wp:align>
            </wp:positionH>
            <wp:positionV relativeFrom="paragraph">
              <wp:posOffset>436245</wp:posOffset>
            </wp:positionV>
            <wp:extent cx="6919595" cy="5305425"/>
            <wp:effectExtent l="0" t="0" r="0" b="9525"/>
            <wp:wrapThrough wrapText="bothSides">
              <wp:wrapPolygon edited="0">
                <wp:start x="0" y="0"/>
                <wp:lineTo x="0" y="21561"/>
                <wp:lineTo x="21527" y="21561"/>
                <wp:lineTo x="21527" y="0"/>
                <wp:lineTo x="0" y="0"/>
              </wp:wrapPolygon>
            </wp:wrapThrough>
            <wp:docPr id="3" name="Рисунок 3" descr="lo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5FEE" w14:textId="4180A763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218158BB" w14:textId="7A35CB7B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7CCC2DCF" w14:textId="40064F6B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4AEC9B7C" w14:textId="77777777" w:rsidR="00E340F9" w:rsidRDefault="00E340F9" w:rsidP="00E340F9">
      <w:pPr>
        <w:spacing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14:paraId="78FE8527" w14:textId="19E94179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lastRenderedPageBreak/>
        <w:t xml:space="preserve">Согласные звуки воспринимаются и дифференцируются дошкольниками сложнее, поэтому для их </w:t>
      </w:r>
      <w:proofErr w:type="gramStart"/>
      <w:r w:rsidRPr="00E340F9">
        <w:rPr>
          <w:rFonts w:ascii="Times New Roman" w:hAnsi="Times New Roman" w:cs="Times New Roman"/>
          <w:sz w:val="36"/>
          <w:szCs w:val="28"/>
        </w:rPr>
        <w:t>обозначения  предлагается</w:t>
      </w:r>
      <w:proofErr w:type="gramEnd"/>
      <w:r w:rsidRPr="00E340F9">
        <w:rPr>
          <w:rFonts w:ascii="Times New Roman" w:hAnsi="Times New Roman" w:cs="Times New Roman"/>
          <w:sz w:val="36"/>
          <w:szCs w:val="28"/>
        </w:rPr>
        <w:t xml:space="preserve"> использовать не только зрительный образ предмета или объекта, способного издавать соответствующий звук, но и определённый, связанный со зрительным, дополнительный жестовой символ. Зрительные символы согласных звуков рекомендуется окрасить в традиционный для них- твердые согласные в синий цвет, а мягкие согласные- в зеленый. Одноцветные картинки- символы вызывают у ребят запоминающийся, яркий зрительный образ, который концентрирует, уточняет восприятие соответствующего согласного звука. Кроме того, единство цвета побуждает детей острее реагировать на различие в образах предметов, изображенных на карточках- символах.</w:t>
      </w:r>
    </w:p>
    <w:p w14:paraId="24817DF9" w14:textId="16CA8A15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73200C2F" w14:textId="77777777" w:rsidR="00E340F9" w:rsidRP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5747119E" w14:textId="58D91465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drawing>
          <wp:inline distT="0" distB="0" distL="0" distR="0" wp14:anchorId="70098616" wp14:editId="0A1FF906">
            <wp:extent cx="6513195" cy="3430283"/>
            <wp:effectExtent l="0" t="0" r="1905" b="0"/>
            <wp:docPr id="2" name="Рисунок 2" descr="lo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7" cy="344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3C43" w14:textId="639FC1B2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02D6AD3F" w14:textId="00C10CBA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0911EFF4" w14:textId="102F067B" w:rsid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5E5AFF8D" w14:textId="77777777" w:rsidR="00E340F9" w:rsidRPr="00E340F9" w:rsidRDefault="00E340F9" w:rsidP="00E340F9">
      <w:pPr>
        <w:spacing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14:paraId="5C7BBC54" w14:textId="77777777" w:rsidR="00E340F9" w:rsidRPr="00E340F9" w:rsidRDefault="00E340F9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lastRenderedPageBreak/>
        <w:t xml:space="preserve">Материализованное с помощью зрительных символов слияние звуков есть моделирование чтения, а составление слов с помощью тех же символов – аналог письма. Только и </w:t>
      </w:r>
      <w:proofErr w:type="gramStart"/>
      <w:r w:rsidRPr="00E340F9">
        <w:rPr>
          <w:rFonts w:ascii="Times New Roman" w:hAnsi="Times New Roman" w:cs="Times New Roman"/>
          <w:sz w:val="36"/>
          <w:szCs w:val="28"/>
        </w:rPr>
        <w:t>то</w:t>
      </w:r>
      <w:proofErr w:type="gramEnd"/>
      <w:r w:rsidRPr="00E340F9">
        <w:rPr>
          <w:rFonts w:ascii="Times New Roman" w:hAnsi="Times New Roman" w:cs="Times New Roman"/>
          <w:sz w:val="36"/>
          <w:szCs w:val="28"/>
        </w:rPr>
        <w:t xml:space="preserve"> и другое происходит в облегченном, занимательном, игровом варианте.</w:t>
      </w:r>
    </w:p>
    <w:p w14:paraId="32D891A4" w14:textId="77777777" w:rsidR="00E340F9" w:rsidRDefault="00E340F9" w:rsidP="00E340F9">
      <w:pPr>
        <w:spacing w:line="240" w:lineRule="auto"/>
        <w:ind w:left="-709" w:firstLine="142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drawing>
          <wp:inline distT="0" distB="0" distL="0" distR="0" wp14:anchorId="3869F028" wp14:editId="2CD367D6">
            <wp:extent cx="6652102" cy="4800600"/>
            <wp:effectExtent l="0" t="0" r="0" b="0"/>
            <wp:docPr id="1" name="Рисунок 1" descr="lo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568" cy="48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275EE" w14:textId="77777777" w:rsidR="00E340F9" w:rsidRDefault="00E340F9" w:rsidP="00E340F9">
      <w:pPr>
        <w:spacing w:line="240" w:lineRule="auto"/>
        <w:ind w:left="-709" w:firstLine="142"/>
        <w:jc w:val="both"/>
        <w:rPr>
          <w:rFonts w:ascii="Times New Roman" w:hAnsi="Times New Roman" w:cs="Times New Roman"/>
          <w:sz w:val="36"/>
          <w:szCs w:val="28"/>
        </w:rPr>
      </w:pPr>
    </w:p>
    <w:p w14:paraId="11F4CBDE" w14:textId="39580271" w:rsidR="00E340F9" w:rsidRPr="00E340F9" w:rsidRDefault="00E340F9" w:rsidP="00E340F9">
      <w:pPr>
        <w:spacing w:line="240" w:lineRule="auto"/>
        <w:ind w:left="-709" w:firstLine="142"/>
        <w:jc w:val="both"/>
        <w:rPr>
          <w:rFonts w:ascii="Times New Roman" w:hAnsi="Times New Roman" w:cs="Times New Roman"/>
          <w:sz w:val="36"/>
          <w:szCs w:val="28"/>
        </w:rPr>
      </w:pPr>
      <w:r w:rsidRPr="00E340F9">
        <w:rPr>
          <w:rFonts w:ascii="Times New Roman" w:hAnsi="Times New Roman" w:cs="Times New Roman"/>
          <w:sz w:val="36"/>
          <w:szCs w:val="28"/>
        </w:rPr>
        <w:t>Таким образом выполнение упражнений на анализ и синтез звукового состава слова с помощью символики:</w:t>
      </w:r>
      <w:r w:rsidRPr="00E340F9">
        <w:rPr>
          <w:rFonts w:ascii="Times New Roman" w:hAnsi="Times New Roman" w:cs="Times New Roman"/>
          <w:sz w:val="36"/>
          <w:szCs w:val="28"/>
        </w:rPr>
        <w:br/>
        <w:t xml:space="preserve">-ускоряет процесс </w:t>
      </w:r>
      <w:proofErr w:type="spellStart"/>
      <w:r w:rsidRPr="00E340F9">
        <w:rPr>
          <w:rFonts w:ascii="Times New Roman" w:hAnsi="Times New Roman" w:cs="Times New Roman"/>
          <w:sz w:val="36"/>
          <w:szCs w:val="28"/>
        </w:rPr>
        <w:t>фонемообразования</w:t>
      </w:r>
      <w:proofErr w:type="spellEnd"/>
      <w:r w:rsidRPr="00E340F9">
        <w:rPr>
          <w:rFonts w:ascii="Times New Roman" w:hAnsi="Times New Roman" w:cs="Times New Roman"/>
          <w:sz w:val="36"/>
          <w:szCs w:val="28"/>
        </w:rPr>
        <w:t>,</w:t>
      </w:r>
      <w:r w:rsidRPr="00E340F9">
        <w:rPr>
          <w:rFonts w:ascii="Times New Roman" w:hAnsi="Times New Roman" w:cs="Times New Roman"/>
          <w:sz w:val="36"/>
          <w:szCs w:val="28"/>
        </w:rPr>
        <w:br/>
        <w:t>-обеспечивает готовность к усвоению грамоты,</w:t>
      </w:r>
      <w:r w:rsidRPr="00E340F9">
        <w:rPr>
          <w:rFonts w:ascii="Times New Roman" w:hAnsi="Times New Roman" w:cs="Times New Roman"/>
          <w:sz w:val="36"/>
          <w:szCs w:val="28"/>
        </w:rPr>
        <w:br/>
        <w:t xml:space="preserve">-способствует предупреждению </w:t>
      </w:r>
      <w:proofErr w:type="spellStart"/>
      <w:r w:rsidRPr="00E340F9">
        <w:rPr>
          <w:rFonts w:ascii="Times New Roman" w:hAnsi="Times New Roman" w:cs="Times New Roman"/>
          <w:sz w:val="36"/>
          <w:szCs w:val="28"/>
        </w:rPr>
        <w:t>дисграфии</w:t>
      </w:r>
      <w:proofErr w:type="spellEnd"/>
      <w:r w:rsidRPr="00E340F9">
        <w:rPr>
          <w:rFonts w:ascii="Times New Roman" w:hAnsi="Times New Roman" w:cs="Times New Roman"/>
          <w:sz w:val="36"/>
          <w:szCs w:val="28"/>
        </w:rPr>
        <w:t xml:space="preserve"> и дислексии у дошкольников.</w:t>
      </w:r>
    </w:p>
    <w:p w14:paraId="58E34EC2" w14:textId="77777777" w:rsidR="005102B7" w:rsidRPr="00E340F9" w:rsidRDefault="005102B7" w:rsidP="00E340F9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36"/>
          <w:szCs w:val="28"/>
        </w:rPr>
      </w:pPr>
    </w:p>
    <w:sectPr w:rsidR="005102B7" w:rsidRPr="00E340F9" w:rsidSect="00E340F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B7"/>
    <w:rsid w:val="002D4D98"/>
    <w:rsid w:val="005102B7"/>
    <w:rsid w:val="00DC1D8E"/>
    <w:rsid w:val="00E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567"/>
  <w15:chartTrackingRefBased/>
  <w15:docId w15:val="{CEF3E87E-727B-450B-AAE6-BCB993F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2025-01-20T07:44:00Z</dcterms:created>
  <dcterms:modified xsi:type="dcterms:W3CDTF">2025-01-20T07:44:00Z</dcterms:modified>
</cp:coreProperties>
</file>