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2025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детский сад «Березка» с. Цуканово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52102572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Деятельность по выполнению государственного (муниципального) задания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11 641 779,58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268 498,91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 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11 641 779,58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268 498,91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11 641 779,58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268 498,91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7 397 317,24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7 397 317,24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7 397 317,24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2 226 592,43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2 226 592,43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2 226 592,43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557 761,39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540 957,51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540 957,51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16 803,88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908 288,52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656 593,49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656 593,49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251 695,03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551 820,00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551 820,00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551 820,00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-11 373 280,67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-11 373 280,67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11 373 280,67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Л. Свитавская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ОГРН 1092502000051, ИНН 2531010346, КПП 253101001, 692701, Приморский край, м.о. Хасанский, пгт Славянка, ул Молодежная, д. 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6 февраля 2025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