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A" w:rsidRPr="0027375A" w:rsidRDefault="0081170F" w:rsidP="0027375A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27375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Блок-схема N 2</w:t>
      </w:r>
      <w:r w:rsidRPr="0027375A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27375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административной процедуры "Организация приема и зачисления, а также индивидуальный отбор, </w:t>
      </w:r>
      <w:proofErr w:type="gramStart"/>
      <w:r w:rsidRPr="0027375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изъявивших</w:t>
      </w:r>
      <w:proofErr w:type="gramEnd"/>
      <w:r w:rsidRPr="0027375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желание тренироваться по программам спортивной подготовки"</w:t>
      </w:r>
    </w:p>
    <w:p w:rsidR="0081170F" w:rsidRDefault="0075200B">
      <w:r>
        <w:rPr>
          <w:noProof/>
          <w:lang w:eastAsia="ru-RU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53" type="#_x0000_t177" style="position:absolute;margin-left:345.95pt;margin-top:211.15pt;width:40pt;height:27pt;z-index:251683840">
            <v:textbox>
              <w:txbxContent>
                <w:p w:rsidR="00AD6544" w:rsidRDefault="00AD6544">
                  <w: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177" style="position:absolute;margin-left:6.95pt;margin-top:211.15pt;width:36pt;height:27pt;z-index:251682816">
            <v:textbox>
              <w:txbxContent>
                <w:p w:rsidR="00AD6544" w:rsidRDefault="00AD6544">
                  <w: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36" style="position:absolute;margin-left:71.95pt;margin-top:579.15pt;width:280pt;height:41pt;z-index:251668480" arcsize="10923f">
            <v:textbox>
              <w:txbxContent>
                <w:p w:rsidR="0081170F" w:rsidRDefault="0081170F" w:rsidP="00D81D27">
                  <w:pPr>
                    <w:jc w:val="center"/>
                  </w:pPr>
                  <w:r>
                    <w:t>Приказ о зачислении получателя муниципальной услуги в спортивную школу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13.95pt;margin-top:551.15pt;width:0;height:28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213.95pt;margin-top:479.15pt;width:0;height:33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213.95pt;margin-top:408.15pt;width:0;height:23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margin-left:244.95pt;margin-top:318.15pt;width:0;height:47pt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244.95pt;margin-top:316.15pt;width:49pt;height:2pt;flip:x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6.95pt;margin-top:238.15pt;width:0;height:40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6.95pt;margin-top:238.15pt;width:41pt;height:0;flip:x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376.95pt;margin-top:238.15pt;width:0;height:40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328.95pt;margin-top:238.15pt;width:48pt;height:0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05.95pt;margin-top:195.15pt;width:0;height:16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205.95pt;margin-top:143.15pt;width:0;height:25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205.95pt;margin-top:90.15pt;width:0;height:24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05.95pt;margin-top:42.15pt;width:0;height:26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0" style="position:absolute;margin-left:47.95pt;margin-top:211.15pt;width:281pt;height:55pt;z-index:251662336" arcsize="10923f">
            <v:textbox>
              <w:txbxContent>
                <w:p w:rsidR="0081170F" w:rsidRDefault="0081170F" w:rsidP="00D81D27">
                  <w:pPr>
                    <w:jc w:val="center"/>
                  </w:pPr>
                  <w:r>
                    <w:t>Основания для отказа в предоставлении муниципальной услуги, указанные в п.2.10.2 настоящего Регламента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23.95pt;margin-top:168.15pt;width:367pt;height:27pt;z-index:251661312" arcsize="10923f">
            <v:textbox>
              <w:txbxContent>
                <w:p w:rsidR="0081170F" w:rsidRDefault="0081170F" w:rsidP="00D81D27">
                  <w:pPr>
                    <w:jc w:val="center"/>
                  </w:pPr>
                  <w:r>
                    <w:t xml:space="preserve">Формирование и размещение </w:t>
                  </w:r>
                  <w:proofErr w:type="spellStart"/>
                  <w:r>
                    <w:t>пофамильного</w:t>
                  </w:r>
                  <w:proofErr w:type="spellEnd"/>
                  <w:r>
                    <w:t xml:space="preserve"> списка-рейтинга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23.95pt;margin-top:114.15pt;width:367pt;height:29pt;z-index:251660288" arcsize="10923f">
            <v:textbox>
              <w:txbxContent>
                <w:p w:rsidR="0081170F" w:rsidRDefault="0081170F" w:rsidP="0081170F">
                  <w:pPr>
                    <w:jc w:val="center"/>
                  </w:pPr>
                  <w:r>
                    <w:t xml:space="preserve">Проведение индивидуального отбора </w:t>
                  </w:r>
                  <w:proofErr w:type="gramStart"/>
                  <w:r>
                    <w:t>поступающих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28.95pt;margin-top:68.15pt;width:362pt;height:22pt;z-index:251659264" arcsize="10923f">
            <v:textbox>
              <w:txbxContent>
                <w:p w:rsidR="0081170F" w:rsidRDefault="0081170F" w:rsidP="0081170F">
                  <w:pPr>
                    <w:jc w:val="center"/>
                  </w:pPr>
                  <w:r>
                    <w:t>Создание приемной и апелляционной комиссий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28.95pt;margin-top:14.15pt;width:362pt;height:28pt;z-index:251658240" arcsize="10923f">
            <v:textbox>
              <w:txbxContent>
                <w:p w:rsidR="0081170F" w:rsidRDefault="0081170F" w:rsidP="0081170F">
                  <w:pPr>
                    <w:jc w:val="center"/>
                  </w:pPr>
                  <w:r>
                    <w:t>Зарегистрированное в Журнале заявление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71.95pt;margin-top:365.15pt;width:280pt;height:43pt;z-index:251665408" arcsize="10923f">
            <v:textbox>
              <w:txbxContent>
                <w:p w:rsidR="0081170F" w:rsidRDefault="0081170F" w:rsidP="00D81D27">
                  <w:pPr>
                    <w:jc w:val="center"/>
                  </w:pPr>
                  <w:r>
                    <w:t xml:space="preserve">Подготовка проекта приказа о зачислении </w:t>
                  </w:r>
                  <w:proofErr w:type="gramStart"/>
                  <w:r>
                    <w:t>поступающих</w:t>
                  </w:r>
                  <w:proofErr w:type="gramEnd"/>
                  <w:r>
                    <w:t xml:space="preserve"> в спортивную школу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5" style="position:absolute;margin-left:71.95pt;margin-top:512.15pt;width:280pt;height:39pt;z-index:251667456" arcsize="10923f">
            <v:textbox>
              <w:txbxContent>
                <w:p w:rsidR="0081170F" w:rsidRDefault="0081170F" w:rsidP="00D81D27">
                  <w:pPr>
                    <w:jc w:val="center"/>
                  </w:pPr>
                  <w:r>
                    <w:t>Формирование личного дела получателя муниципальной услуги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margin-left:71.95pt;margin-top:431.15pt;width:280pt;height:48pt;z-index:251666432" arcsize="10923f">
            <v:textbox>
              <w:txbxContent>
                <w:p w:rsidR="0081170F" w:rsidRDefault="0081170F" w:rsidP="00D81D27">
                  <w:pPr>
                    <w:jc w:val="center"/>
                  </w:pPr>
                  <w:r>
                    <w:t xml:space="preserve">Подписание и регистрация приказа о зачислении </w:t>
                  </w:r>
                  <w:proofErr w:type="gramStart"/>
                  <w:r>
                    <w:t>поступающих</w:t>
                  </w:r>
                  <w:proofErr w:type="gramEnd"/>
                  <w:r>
                    <w:t xml:space="preserve"> в спортивную школу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2" style="position:absolute;margin-left:293.95pt;margin-top:278.15pt;width:143pt;height:73pt;z-index:251664384" arcsize="10923f">
            <v:textbox>
              <w:txbxContent>
                <w:p w:rsidR="0081170F" w:rsidRDefault="0081170F">
                  <w:r>
                    <w:t>Принятие решения о предоставлении муниципальной услуги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margin-left:-31.05pt;margin-top:278.15pt;width:116pt;height:68pt;z-index:251663360" arcsize="10923f">
            <v:textbox>
              <w:txbxContent>
                <w:p w:rsidR="0081170F" w:rsidRDefault="0081170F">
                  <w:r>
                    <w:t>Принятие решения об отказе в предоставлении муниципальной услуги</w:t>
                  </w:r>
                </w:p>
              </w:txbxContent>
            </v:textbox>
          </v:roundrect>
        </w:pict>
      </w:r>
    </w:p>
    <w:sectPr w:rsidR="0081170F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170F"/>
    <w:rsid w:val="000C0FF6"/>
    <w:rsid w:val="0027375A"/>
    <w:rsid w:val="005C51A4"/>
    <w:rsid w:val="0069128E"/>
    <w:rsid w:val="0075200B"/>
    <w:rsid w:val="00806EE1"/>
    <w:rsid w:val="0081170F"/>
    <w:rsid w:val="00872FDA"/>
    <w:rsid w:val="00A910A1"/>
    <w:rsid w:val="00AD6544"/>
    <w:rsid w:val="00CE4C0C"/>
    <w:rsid w:val="00D81D27"/>
    <w:rsid w:val="00F7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41"/>
        <o:r id="V:Rule15" type="connector" idref="#_x0000_s1046"/>
        <o:r id="V:Rule16" type="connector" idref="#_x0000_s1042"/>
        <o:r id="V:Rule17" type="connector" idref="#_x0000_s1047"/>
        <o:r id="V:Rule18" type="connector" idref="#_x0000_s1049"/>
        <o:r id="V:Rule19" type="connector" idref="#_x0000_s1040"/>
        <o:r id="V:Rule20" type="connector" idref="#_x0000_s1048"/>
        <o:r id="V:Rule21" type="connector" idref="#_x0000_s1038"/>
        <o:r id="V:Rule22" type="connector" idref="#_x0000_s1050"/>
        <o:r id="V:Rule23" type="connector" idref="#_x0000_s1037"/>
        <o:r id="V:Rule24" type="connector" idref="#_x0000_s1043"/>
        <o:r id="V:Rule25" type="connector" idref="#_x0000_s1044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2018-02-04T08:17:00Z</dcterms:created>
  <dcterms:modified xsi:type="dcterms:W3CDTF">2018-04-09T03:22:00Z</dcterms:modified>
</cp:coreProperties>
</file>