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вступают в силу Правила организации деятельности организаций социального обслуживания, их структурных подразделений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организаций социального обслуживания осуществляется в соответствии с Федеральным законом от 28.12.2013            № 442-ФЗ «Об основах социального обслуживания граждан в Российской Федерации», Гражданским кодексом Российской Федерации и иными законодательными и нормативными правовыми актами федерального и регионального уровней.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Правилами, утвержденными Приказом министерства труда и социальной защиты Российской Федерации от 14.05.2025 № 305н, установлен порядок деятельности субъектов социального обслуживания и их структурных подразделений, предоставляющих социальные услуги в сфере социального обслуживания, рекомендуемые нормативы штатной численности и перечень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индивидуальных потребностей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социально-правовые, срочные социальные услуги и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действует до 1 сентября 2031 года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2025-06-26T12:20:19Z</dcterms:modified>
</cp:coreProperties>
</file>