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397" w:rsidRPr="00326397" w:rsidRDefault="00326397" w:rsidP="0032639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397">
        <w:rPr>
          <w:rFonts w:ascii="Times New Roman" w:hAnsi="Times New Roman" w:cs="Times New Roman"/>
          <w:b/>
          <w:sz w:val="28"/>
          <w:szCs w:val="28"/>
        </w:rPr>
        <w:t>Информация о дорожно-транспортных происшествиях с участием несовершеннолетних за 12 месяцев 2025 г.</w:t>
      </w:r>
    </w:p>
    <w:p w:rsidR="00510A65" w:rsidRPr="00326397" w:rsidRDefault="00326397" w:rsidP="003263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97">
        <w:rPr>
          <w:rFonts w:ascii="Times New Roman" w:hAnsi="Times New Roman" w:cs="Times New Roman"/>
          <w:sz w:val="28"/>
          <w:szCs w:val="28"/>
        </w:rPr>
        <w:t xml:space="preserve">По итогам двенадцати месяцев 2025 года на территории региона зарегистрировано снижение всех основных показателей аварийности. Число ДТП снизилось на 4,2% (с 547 до 524), погибло восемь несовершеннолетних (+14,3%, с 7 до 8), число пострадавших снизилось </w:t>
      </w:r>
      <w:proofErr w:type="gramStart"/>
      <w:r w:rsidRPr="0032639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26397">
        <w:rPr>
          <w:rFonts w:ascii="Times New Roman" w:hAnsi="Times New Roman" w:cs="Times New Roman"/>
          <w:sz w:val="28"/>
          <w:szCs w:val="28"/>
        </w:rPr>
        <w:t xml:space="preserve"> 6,4% (с 621 до 581). Рост дорожно-транспортных происшествий допущен на территории 21 муниципальных и городских округов. Отмечается уменьшение на 15,2% (с 198 до 168) числа аварий с участием детей пешеходов. Вместе с тем рост подобных ДТП зафиксирован в округах: Арзамас,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Ардатовский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, Бор,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Большемурашкинский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, Ветлужский, Вознесенский,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Гагинский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, Городецкий, Кулебаки,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Лысковский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, Первомайск,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Сокольский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, Сосновский и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Уренский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. Число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автоаварий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 из-за неосторожного поведения пешеходов снизилось на 24,3% (с 74 до 56), 2 ребенка погибли, пострадали 55 детей. За двенадцать месяцев 2025 года зарегистрировано 58 происшествий на безопасных маршрутах «Дом-Школа-Дом». При этом в 23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ДТПдети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 пострадали по своей неосторожности. Зафиксировано 216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автоаварий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 с участием детей-пассажиров. Рост подобных ДТП зафиксирован в округах: Дзержинск,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Саров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Балахнинский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Большеболдинский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Бутурлинский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Вадский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Варнавинский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, Воротынский,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Гагинский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, Городецкий,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Дальнеконстантиновский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Перевозский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Пильнинский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, Семеновский,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Сергачский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Сеченовский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, Сосновский,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Тонкинский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, Чкаловск и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Шарангский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>. 2</w:t>
      </w:r>
      <w:proofErr w:type="gramStart"/>
      <w:r w:rsidRPr="00326397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326397">
        <w:rPr>
          <w:rFonts w:ascii="Times New Roman" w:hAnsi="Times New Roman" w:cs="Times New Roman"/>
          <w:sz w:val="28"/>
          <w:szCs w:val="28"/>
        </w:rPr>
        <w:t xml:space="preserve">а двенадцать месяцев 2025 года произошло 110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автоаварий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 с участием несовершеннолетних водителей транспортных средств. В большинстве ДТП несовершеннолетние водители получили ранения из-за собственного неосторожного поведения. Количество ДТП по неосторожности детей снизилось на 7,9%. Вместе с тем рост подобных происшествий наблюдается в округах: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Ардатовский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Богородский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Большемурашкинский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Варнавинский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, Ветлужский,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Большеболдинский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, Вознесенский, Володарский,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Бутурлинский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, Городецкий,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Ковернинский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, Кулебаки, Первомайск,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Сеченовский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Сокольский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, Сосновский,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Тонкинский</w:t>
      </w:r>
      <w:proofErr w:type="spellEnd"/>
      <w:r w:rsidRPr="0032639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26397">
        <w:rPr>
          <w:rFonts w:ascii="Times New Roman" w:hAnsi="Times New Roman" w:cs="Times New Roman"/>
          <w:sz w:val="28"/>
          <w:szCs w:val="28"/>
        </w:rPr>
        <w:t>Шарангский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510A65" w:rsidRPr="00326397" w:rsidSect="0032639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26397"/>
    <w:rsid w:val="00326397"/>
    <w:rsid w:val="00510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2026-01-22T13:28:00Z</dcterms:created>
  <dcterms:modified xsi:type="dcterms:W3CDTF">2026-01-22T13:28:00Z</dcterms:modified>
</cp:coreProperties>
</file>