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864DD">
        <w:tc>
          <w:tcPr>
            <w:tcW w:w="5670" w:type="dxa"/>
          </w:tcPr>
          <w:p w14:paraId="47F3FA14" w14:textId="77777777" w:rsidR="00666BDD" w:rsidRDefault="00666BDD" w:rsidP="009864DD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3208937D" w14:textId="0E0EEFAA" w:rsidR="00520DED" w:rsidRPr="00520DED" w:rsidRDefault="000F0FC3" w:rsidP="00520DE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BA50BC" w:rsidRPr="00BA50BC">
            <w:rPr>
              <w:rFonts w:ascii="Times New Roman" w:eastAsia="Arial Unicode MS" w:hAnsi="Times New Roman" w:cs="Times New Roman"/>
              <w:sz w:val="56"/>
              <w:szCs w:val="56"/>
            </w:rPr>
            <w:t>БУХГАЛТЕРСКИЙ УЧЕТ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</w:sdtContent>
    </w:sdt>
    <w:p w14:paraId="6FDB2BD7" w14:textId="201ADBCA" w:rsidR="00520DED" w:rsidRPr="00520DED" w:rsidRDefault="000A77A0" w:rsidP="00520DED">
      <w:pPr>
        <w:spacing w:after="0" w:line="360" w:lineRule="auto"/>
        <w:jc w:val="center"/>
        <w:rPr>
          <w:rFonts w:eastAsia="Arial Unicode MS"/>
          <w:sz w:val="72"/>
          <w:szCs w:val="72"/>
        </w:rPr>
      </w:pPr>
      <w:r>
        <w:rPr>
          <w:rFonts w:ascii="Times New Roman" w:eastAsia="Arial Unicode MS" w:hAnsi="Times New Roman" w:cs="Times New Roman"/>
          <w:i/>
          <w:sz w:val="36"/>
          <w:szCs w:val="36"/>
        </w:rPr>
        <w:t>Регионального этапа</w:t>
      </w:r>
      <w:r w:rsidR="00520DED" w:rsidRPr="00520DED">
        <w:rPr>
          <w:rFonts w:ascii="Times New Roman" w:eastAsia="Arial Unicode MS" w:hAnsi="Times New Roman" w:cs="Times New Roman"/>
          <w:sz w:val="36"/>
          <w:szCs w:val="36"/>
        </w:rPr>
        <w:t xml:space="preserve"> Чемпионата по профессиональному мастерству «Профессионалы» в 20</w:t>
      </w:r>
      <w:r w:rsidR="00A646E5">
        <w:rPr>
          <w:rFonts w:ascii="Times New Roman" w:eastAsia="Arial Unicode MS" w:hAnsi="Times New Roman" w:cs="Times New Roman"/>
          <w:sz w:val="36"/>
          <w:szCs w:val="36"/>
        </w:rPr>
        <w:t>24</w:t>
      </w:r>
      <w:r w:rsidR="00520DED" w:rsidRPr="00520DED">
        <w:rPr>
          <w:rFonts w:ascii="Times New Roman" w:eastAsia="Arial Unicode MS" w:hAnsi="Times New Roman" w:cs="Times New Roman"/>
          <w:sz w:val="36"/>
          <w:szCs w:val="36"/>
        </w:rPr>
        <w:t xml:space="preserve"> г.</w:t>
      </w:r>
    </w:p>
    <w:p w14:paraId="7D975935" w14:textId="07C379DD" w:rsidR="00334165" w:rsidRPr="00A204BB" w:rsidRDefault="00334165" w:rsidP="00C17B01">
      <w:pPr>
        <w:spacing w:after="0" w:line="360" w:lineRule="auto"/>
        <w:jc w:val="center"/>
        <w:rPr>
          <w:rFonts w:ascii="Times New Roman" w:eastAsia="Arial Unicode MS" w:hAnsi="Times New Roman" w:cs="Times New Roman"/>
          <w:sz w:val="72"/>
          <w:szCs w:val="72"/>
        </w:rPr>
      </w:pPr>
    </w:p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45957EB" w14:textId="5F845021" w:rsidR="00557CC0" w:rsidRDefault="00666BDD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 w:rsidRPr="00520DED">
        <w:rPr>
          <w:rFonts w:ascii="Times New Roman" w:hAnsi="Times New Roman" w:cs="Times New Roman"/>
          <w:sz w:val="28"/>
          <w:lang w:bidi="en-US"/>
        </w:rPr>
        <w:t>202</w:t>
      </w:r>
      <w:r w:rsidR="000A77A0">
        <w:rPr>
          <w:rFonts w:ascii="Times New Roman" w:hAnsi="Times New Roman" w:cs="Times New Roman"/>
          <w:sz w:val="28"/>
          <w:lang w:bidi="en-US"/>
        </w:rPr>
        <w:t>4</w:t>
      </w:r>
      <w:r w:rsidR="00520DED">
        <w:rPr>
          <w:rFonts w:ascii="Times New Roman" w:hAnsi="Times New Roman" w:cs="Times New Roman"/>
          <w:sz w:val="28"/>
          <w:lang w:bidi="en-US"/>
        </w:rPr>
        <w:t xml:space="preserve"> г.</w:t>
      </w:r>
    </w:p>
    <w:p w14:paraId="0156AB65" w14:textId="77777777" w:rsidR="00BA50BC" w:rsidRDefault="00BA50BC">
      <w:pPr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14:paraId="4E237B94" w14:textId="0C3C535C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729FB45" w14:textId="77777777" w:rsidR="00F86B6E" w:rsidRPr="00EE08A3" w:rsidRDefault="0029547E" w:rsidP="00EE08A3">
      <w:pPr>
        <w:pStyle w:val="11"/>
        <w:tabs>
          <w:tab w:val="clear" w:pos="9498"/>
          <w:tab w:val="right" w:leader="dot" w:pos="9639"/>
        </w:tabs>
        <w:rPr>
          <w:rFonts w:ascii="Times New Roman" w:eastAsiaTheme="minorEastAsia" w:hAnsi="Times New Roman"/>
          <w:noProof/>
          <w:sz w:val="28"/>
          <w:szCs w:val="24"/>
          <w:lang w:val="ru-RU" w:eastAsia="ru-RU"/>
        </w:rPr>
      </w:pPr>
      <w:r w:rsidRPr="00EE08A3">
        <w:rPr>
          <w:rFonts w:ascii="Times New Roman" w:hAnsi="Times New Roman"/>
          <w:sz w:val="28"/>
          <w:szCs w:val="24"/>
          <w:lang w:val="ru-RU" w:eastAsia="ru-RU"/>
        </w:rPr>
        <w:fldChar w:fldCharType="begin"/>
      </w:r>
      <w:r w:rsidRPr="00EE08A3">
        <w:rPr>
          <w:rFonts w:ascii="Times New Roman" w:hAnsi="Times New Roman"/>
          <w:sz w:val="28"/>
          <w:szCs w:val="24"/>
          <w:lang w:val="ru-RU" w:eastAsia="ru-RU"/>
        </w:rPr>
        <w:instrText xml:space="preserve"> TOC \o "1-2" \h \z \u </w:instrText>
      </w:r>
      <w:r w:rsidRPr="00EE08A3">
        <w:rPr>
          <w:rFonts w:ascii="Times New Roman" w:hAnsi="Times New Roman"/>
          <w:sz w:val="28"/>
          <w:szCs w:val="24"/>
          <w:lang w:val="ru-RU" w:eastAsia="ru-RU"/>
        </w:rPr>
        <w:fldChar w:fldCharType="separate"/>
      </w:r>
      <w:hyperlink w:anchor="_Toc135498021" w:history="1">
        <w:r w:rsidR="00F86B6E" w:rsidRPr="00EE08A3">
          <w:rPr>
            <w:rStyle w:val="ae"/>
            <w:rFonts w:ascii="Times New Roman" w:hAnsi="Times New Roman"/>
            <w:caps/>
            <w:noProof/>
            <w:sz w:val="28"/>
            <w:szCs w:val="24"/>
          </w:rPr>
          <w:t>1. ОСНОВНЫЕ ТРЕБОВАНИЯ КОМПЕТЕНЦИИ</w: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tab/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instrText xml:space="preserve"> PAGEREF _Toc135498021 \h </w:instrTex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separate"/>
        </w:r>
        <w:r w:rsidR="00FA3440">
          <w:rPr>
            <w:rFonts w:ascii="Times New Roman" w:hAnsi="Times New Roman"/>
            <w:noProof/>
            <w:webHidden/>
            <w:sz w:val="28"/>
            <w:szCs w:val="24"/>
          </w:rPr>
          <w:t>4</w: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end"/>
        </w:r>
      </w:hyperlink>
    </w:p>
    <w:p w14:paraId="40994515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2" w:history="1">
        <w:r w:rsidR="00F86B6E" w:rsidRPr="00EE08A3">
          <w:rPr>
            <w:rStyle w:val="ae"/>
            <w:noProof/>
            <w:sz w:val="28"/>
            <w:szCs w:val="24"/>
          </w:rPr>
          <w:t>1.1. ОБЩИЕ СВЕДЕНИЯ О ТРЕБОВАНИЯХ КОМПЕТЕНЦИИ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_Toc135498022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4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52FC0740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3" w:history="1">
        <w:r w:rsidR="00F86B6E" w:rsidRPr="00EE08A3">
          <w:rPr>
            <w:rStyle w:val="ae"/>
            <w:noProof/>
            <w:sz w:val="28"/>
            <w:szCs w:val="24"/>
          </w:rPr>
          <w:t>1.2. ПЕРЕЧЕНЬ ПРОФЕССИОНАЛЬНЫХ ЗАДАЧ СПЕЦИАЛИСТА ПО КОМПЕТЕНЦИИ «БУХГАЛТЕРСКИЙ УЧЕТ»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_Toc135498023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4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29AF0D2D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4" w:history="1">
        <w:r w:rsidR="00F86B6E" w:rsidRPr="00EE08A3">
          <w:rPr>
            <w:rStyle w:val="ae"/>
            <w:noProof/>
            <w:sz w:val="28"/>
            <w:szCs w:val="24"/>
          </w:rPr>
          <w:t>1.3. ТРЕБОВАНИЯ К СХЕМЕ ОЦЕНКИ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_Toc135498024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11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3B99328B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5" w:history="1">
        <w:r w:rsidR="00F86B6E" w:rsidRPr="00EE08A3">
          <w:rPr>
            <w:rStyle w:val="ae"/>
            <w:noProof/>
            <w:sz w:val="28"/>
            <w:szCs w:val="24"/>
          </w:rPr>
          <w:t>1.4. СПЕЦИФИКАЦИЯ ОЦЕНКИ КОМПЕТЕНЦИИ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_Toc135498025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11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7F34C500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6" w:history="1">
        <w:r w:rsidR="00F86B6E" w:rsidRPr="00EE08A3">
          <w:rPr>
            <w:rStyle w:val="ae"/>
            <w:noProof/>
            <w:sz w:val="28"/>
            <w:szCs w:val="24"/>
          </w:rPr>
          <w:t>1.5. КОНКУРСНОЕ ЗАДАНИЕ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_Toc135498026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12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26768E48" w14:textId="0B701CE6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7" w:history="1">
        <w:r w:rsidR="00F86B6E" w:rsidRPr="00EE08A3">
          <w:rPr>
            <w:rStyle w:val="ae"/>
            <w:noProof/>
            <w:sz w:val="28"/>
            <w:szCs w:val="24"/>
          </w:rPr>
          <w:t>1.5.1. Разработка/выбор конкурсного задания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_Toc135498027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12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2D3D2E9C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28" w:history="1">
        <w:r w:rsidR="00F86B6E" w:rsidRPr="00EE08A3">
          <w:rPr>
            <w:rStyle w:val="ae"/>
            <w:noProof/>
            <w:sz w:val="28"/>
            <w:szCs w:val="24"/>
          </w:rPr>
          <w:t xml:space="preserve">1.5.2. Структура модулей конкурсного задания </w:t>
        </w:r>
        <w:r w:rsidR="00F86B6E" w:rsidRPr="00EE08A3">
          <w:rPr>
            <w:rStyle w:val="ae"/>
            <w:bCs/>
            <w:noProof/>
            <w:sz w:val="28"/>
            <w:szCs w:val="24"/>
          </w:rPr>
          <w:t>(инвариант/вариатив)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_Toc135498028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13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1F31D0F8" w14:textId="77777777" w:rsidR="00F86B6E" w:rsidRPr="00EE08A3" w:rsidRDefault="008225A5" w:rsidP="00EE08A3">
      <w:pPr>
        <w:pStyle w:val="11"/>
        <w:tabs>
          <w:tab w:val="clear" w:pos="9498"/>
          <w:tab w:val="right" w:leader="dot" w:pos="9639"/>
        </w:tabs>
        <w:rPr>
          <w:rFonts w:ascii="Times New Roman" w:eastAsiaTheme="minorEastAsia" w:hAnsi="Times New Roman"/>
          <w:noProof/>
          <w:sz w:val="28"/>
          <w:szCs w:val="24"/>
          <w:lang w:val="ru-RU" w:eastAsia="ru-RU"/>
        </w:rPr>
      </w:pPr>
      <w:hyperlink w:anchor="_Toc135498029" w:history="1">
        <w:r w:rsidR="00F86B6E" w:rsidRPr="00EE08A3">
          <w:rPr>
            <w:rStyle w:val="ae"/>
            <w:rFonts w:ascii="Times New Roman" w:hAnsi="Times New Roman"/>
            <w:caps/>
            <w:noProof/>
            <w:sz w:val="28"/>
            <w:szCs w:val="24"/>
          </w:rPr>
          <w:t>2. СПЕЦИАЛЬНЫЕ ПРАВИЛА КОМПЕТЕНЦИИ</w: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tab/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instrText xml:space="preserve"> PAGEREF _Toc135498029 \h </w:instrTex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separate"/>
        </w:r>
        <w:r w:rsidR="00FA3440">
          <w:rPr>
            <w:rFonts w:ascii="Times New Roman" w:hAnsi="Times New Roman"/>
            <w:noProof/>
            <w:webHidden/>
            <w:sz w:val="28"/>
            <w:szCs w:val="24"/>
          </w:rPr>
          <w:t>21</w: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end"/>
        </w:r>
      </w:hyperlink>
    </w:p>
    <w:p w14:paraId="552A79B5" w14:textId="77777777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30" w:history="1">
        <w:r w:rsidR="00F86B6E" w:rsidRPr="00EE08A3">
          <w:rPr>
            <w:rStyle w:val="ae"/>
            <w:noProof/>
            <w:sz w:val="28"/>
            <w:szCs w:val="24"/>
          </w:rPr>
          <w:t xml:space="preserve">2.1. </w:t>
        </w:r>
        <w:r w:rsidR="00F86B6E" w:rsidRPr="00EE08A3">
          <w:rPr>
            <w:rStyle w:val="ae"/>
            <w:bCs/>
            <w:iCs/>
            <w:noProof/>
            <w:sz w:val="28"/>
            <w:szCs w:val="24"/>
          </w:rPr>
          <w:t>Личный инструмент конкурсанта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_Toc135498030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23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598BF6C2" w14:textId="51B01045" w:rsidR="00F86B6E" w:rsidRPr="00EE08A3" w:rsidRDefault="008225A5" w:rsidP="00EE08A3">
      <w:pPr>
        <w:pStyle w:val="25"/>
        <w:rPr>
          <w:rFonts w:eastAsiaTheme="minorEastAsia"/>
          <w:noProof/>
          <w:sz w:val="28"/>
          <w:szCs w:val="24"/>
        </w:rPr>
      </w:pPr>
      <w:hyperlink w:anchor="_Toc135498031" w:history="1">
        <w:r w:rsidR="00F86B6E" w:rsidRPr="00EE08A3">
          <w:rPr>
            <w:rStyle w:val="ae"/>
            <w:iCs/>
            <w:noProof/>
            <w:sz w:val="28"/>
            <w:szCs w:val="24"/>
          </w:rPr>
          <w:t>2.2.</w:t>
        </w:r>
        <w:r w:rsidR="00F86B6E" w:rsidRPr="00EE08A3">
          <w:rPr>
            <w:rStyle w:val="ae"/>
            <w:i/>
            <w:iCs/>
            <w:noProof/>
            <w:sz w:val="28"/>
            <w:szCs w:val="24"/>
          </w:rPr>
          <w:t xml:space="preserve"> </w:t>
        </w:r>
        <w:r w:rsidR="00F86B6E" w:rsidRPr="00EE08A3">
          <w:rPr>
            <w:rStyle w:val="ae"/>
            <w:iCs/>
            <w:noProof/>
            <w:sz w:val="28"/>
            <w:szCs w:val="24"/>
          </w:rPr>
          <w:t xml:space="preserve">Материалы, оборудование и инструменты, запрещенные </w:t>
        </w:r>
        <w:r w:rsidR="00F86B6E" w:rsidRPr="00EE08A3">
          <w:rPr>
            <w:rStyle w:val="ae"/>
            <w:iCs/>
            <w:noProof/>
            <w:sz w:val="28"/>
            <w:szCs w:val="24"/>
          </w:rPr>
          <w:br/>
          <w:t>на площадке</w:t>
        </w:r>
        <w:r w:rsidR="00F86B6E" w:rsidRPr="00EE08A3">
          <w:rPr>
            <w:noProof/>
            <w:webHidden/>
            <w:sz w:val="28"/>
            <w:szCs w:val="24"/>
          </w:rPr>
          <w:tab/>
        </w:r>
        <w:r w:rsidR="00F86B6E" w:rsidRPr="00EE08A3">
          <w:rPr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noProof/>
            <w:webHidden/>
            <w:sz w:val="28"/>
            <w:szCs w:val="24"/>
          </w:rPr>
          <w:instrText xml:space="preserve"> PAGEREF _Toc135498031 \h </w:instrText>
        </w:r>
        <w:r w:rsidR="00F86B6E" w:rsidRPr="00EE08A3">
          <w:rPr>
            <w:noProof/>
            <w:webHidden/>
            <w:sz w:val="28"/>
            <w:szCs w:val="24"/>
          </w:rPr>
        </w:r>
        <w:r w:rsidR="00F86B6E" w:rsidRPr="00EE08A3">
          <w:rPr>
            <w:noProof/>
            <w:webHidden/>
            <w:sz w:val="28"/>
            <w:szCs w:val="24"/>
          </w:rPr>
          <w:fldChar w:fldCharType="separate"/>
        </w:r>
        <w:r w:rsidR="00FA3440">
          <w:rPr>
            <w:noProof/>
            <w:webHidden/>
            <w:sz w:val="28"/>
            <w:szCs w:val="24"/>
          </w:rPr>
          <w:t>23</w:t>
        </w:r>
        <w:r w:rsidR="00F86B6E" w:rsidRPr="00EE08A3">
          <w:rPr>
            <w:noProof/>
            <w:webHidden/>
            <w:sz w:val="28"/>
            <w:szCs w:val="24"/>
          </w:rPr>
          <w:fldChar w:fldCharType="end"/>
        </w:r>
      </w:hyperlink>
    </w:p>
    <w:p w14:paraId="698660CB" w14:textId="77777777" w:rsidR="00F86B6E" w:rsidRPr="00EE08A3" w:rsidRDefault="008225A5" w:rsidP="00EE08A3">
      <w:pPr>
        <w:pStyle w:val="11"/>
        <w:tabs>
          <w:tab w:val="clear" w:pos="9498"/>
          <w:tab w:val="right" w:leader="dot" w:pos="9639"/>
        </w:tabs>
        <w:rPr>
          <w:rFonts w:ascii="Times New Roman" w:eastAsiaTheme="minorEastAsia" w:hAnsi="Times New Roman"/>
          <w:noProof/>
          <w:sz w:val="28"/>
          <w:szCs w:val="24"/>
          <w:lang w:val="ru-RU" w:eastAsia="ru-RU"/>
        </w:rPr>
      </w:pPr>
      <w:hyperlink w:anchor="_Toc135498032" w:history="1">
        <w:r w:rsidR="00F86B6E" w:rsidRPr="00EE08A3">
          <w:rPr>
            <w:rStyle w:val="ae"/>
            <w:rFonts w:ascii="Times New Roman" w:hAnsi="Times New Roman"/>
            <w:caps/>
            <w:noProof/>
            <w:sz w:val="28"/>
            <w:szCs w:val="24"/>
          </w:rPr>
          <w:t>3. Приложения</w: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tab/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begin"/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instrText xml:space="preserve"> PAGEREF _Toc135498032 \h </w:instrTex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separate"/>
        </w:r>
        <w:r w:rsidR="00FA3440">
          <w:rPr>
            <w:rFonts w:ascii="Times New Roman" w:hAnsi="Times New Roman"/>
            <w:noProof/>
            <w:webHidden/>
            <w:sz w:val="28"/>
            <w:szCs w:val="24"/>
          </w:rPr>
          <w:t>23</w:t>
        </w:r>
        <w:r w:rsidR="00F86B6E" w:rsidRPr="00EE08A3">
          <w:rPr>
            <w:rFonts w:ascii="Times New Roman" w:hAnsi="Times New Roman"/>
            <w:noProof/>
            <w:webHidden/>
            <w:sz w:val="28"/>
            <w:szCs w:val="24"/>
          </w:rPr>
          <w:fldChar w:fldCharType="end"/>
        </w:r>
      </w:hyperlink>
    </w:p>
    <w:p w14:paraId="36AA3717" w14:textId="2BE4988C" w:rsidR="00AA2B8A" w:rsidRPr="00A204BB" w:rsidRDefault="0029547E" w:rsidP="00F86B6E">
      <w:pPr>
        <w:pStyle w:val="bullet"/>
        <w:numPr>
          <w:ilvl w:val="0"/>
          <w:numId w:val="0"/>
        </w:numPr>
        <w:tabs>
          <w:tab w:val="left" w:pos="142"/>
          <w:tab w:val="right" w:leader="dot" w:pos="9356"/>
          <w:tab w:val="right" w:leader="dot" w:pos="9639"/>
        </w:tabs>
        <w:spacing w:line="240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EE08A3">
        <w:rPr>
          <w:rFonts w:ascii="Times New Roman" w:hAnsi="Times New Roman"/>
          <w:bCs/>
          <w:sz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CF8B2CC" w14:textId="77777777" w:rsidR="00BA50BC" w:rsidRDefault="00BA50BC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4B31DD1" w14:textId="21C851D9" w:rsidR="00A204BB" w:rsidRDefault="00D37DEA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2A45A0A5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ПБУ – Положение по бухгалтерскому учету</w:t>
      </w:r>
    </w:p>
    <w:p w14:paraId="4C30AD1D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ФСБУ – Федеральный стандарт бухгалтерского учета</w:t>
      </w:r>
    </w:p>
    <w:p w14:paraId="026DFCD8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НК РФ – Налоговый кодекс РФ</w:t>
      </w:r>
    </w:p>
    <w:p w14:paraId="50898CA3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 – оборотно-сальдовая ведомость</w:t>
      </w:r>
    </w:p>
    <w:p w14:paraId="47E51C76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УПД – универсальный передаточный документ</w:t>
      </w:r>
    </w:p>
    <w:p w14:paraId="3B81C424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ДМС – добровольное медицинское страхование</w:t>
      </w:r>
    </w:p>
    <w:p w14:paraId="7C4E7AC8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ИФНС – инспекция федеральной налоговой службы</w:t>
      </w:r>
    </w:p>
    <w:p w14:paraId="69C94576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ИНН – идентификационный номер налогоплательщика</w:t>
      </w:r>
    </w:p>
    <w:p w14:paraId="697AB4FA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ЕГРЮЛ – единый  государственный реестр юридических лиц</w:t>
      </w:r>
    </w:p>
    <w:p w14:paraId="237DD75A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УСН – упрощенная система налогообложения</w:t>
      </w:r>
    </w:p>
    <w:p w14:paraId="2DBB6D31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 – общая система налогообложения</w:t>
      </w:r>
    </w:p>
    <w:p w14:paraId="0A58ADF2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НДС – налог на добавленную стоимость</w:t>
      </w:r>
    </w:p>
    <w:p w14:paraId="0715D8C9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НДФЛ – налог на доходы физического лица</w:t>
      </w:r>
    </w:p>
    <w:p w14:paraId="6C2A4F83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ОКТМО – Общероссийский классификатор территорий муниципальных образований</w:t>
      </w:r>
    </w:p>
    <w:p w14:paraId="2E395325" w14:textId="77777777" w:rsidR="00BA50BC" w:rsidRPr="00BA50BC" w:rsidRDefault="00BA50BC" w:rsidP="00BA50BC">
      <w:pPr>
        <w:widowControl w:val="0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ОКВЭД – Общероссийский  классификатор видов экономической деятельности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405881DF" w14:textId="77777777" w:rsidR="00BA50BC" w:rsidRPr="00520DED" w:rsidRDefault="00BA50BC" w:rsidP="00520DED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26269906"/>
      <w:bookmarkStart w:id="2" w:name="_Toc135498021"/>
      <w:r w:rsidRPr="00520DED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  <w:bookmarkEnd w:id="2"/>
    </w:p>
    <w:p w14:paraId="1E7B1EDB" w14:textId="77777777" w:rsidR="00BA50BC" w:rsidRPr="00520DED" w:rsidRDefault="00BA50BC" w:rsidP="00520DED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26269907"/>
      <w:bookmarkStart w:id="4" w:name="_Toc135498022"/>
      <w:r w:rsidRPr="00520DED">
        <w:rPr>
          <w:rFonts w:ascii="Times New Roman" w:hAnsi="Times New Roman"/>
          <w:sz w:val="24"/>
        </w:rPr>
        <w:t>1.1. ОБЩИЕ СВЕДЕНИЯ О ТРЕБОВАНИЯХ КОМПЕТЕНЦИИ</w:t>
      </w:r>
      <w:bookmarkEnd w:id="3"/>
      <w:bookmarkEnd w:id="4"/>
    </w:p>
    <w:p w14:paraId="745B7F0A" w14:textId="77777777" w:rsidR="00BA50BC" w:rsidRPr="00BA50BC" w:rsidRDefault="00BA50BC" w:rsidP="00BA50B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(ТК) «Бухгалтерский учет» </w:t>
      </w:r>
      <w:bookmarkStart w:id="5" w:name="_Hlk123050441"/>
      <w:r w:rsidRPr="00BA50BC">
        <w:rPr>
          <w:rFonts w:ascii="Times New Roman" w:eastAsia="Calibri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75258769" w14:textId="77777777" w:rsidR="00BA50BC" w:rsidRPr="00BA50BC" w:rsidRDefault="00BA50BC" w:rsidP="00BA50B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3BC8ACD3" w14:textId="77777777" w:rsidR="00BA50BC" w:rsidRPr="00BA50BC" w:rsidRDefault="00BA50BC" w:rsidP="00BA50B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1C9AE0DD" w14:textId="77777777" w:rsidR="00BA50BC" w:rsidRPr="00BA50BC" w:rsidRDefault="00BA50BC" w:rsidP="00BA50B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CB13953" w14:textId="77777777" w:rsidR="00BA50BC" w:rsidRPr="00BA50BC" w:rsidRDefault="00BA50BC" w:rsidP="00BA50B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FF65D02" w14:textId="77777777" w:rsidR="00BA50BC" w:rsidRPr="00520DED" w:rsidRDefault="00BA50BC" w:rsidP="00520DED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2"/>
      <w:bookmarkStart w:id="7" w:name="_Toc126269908"/>
      <w:bookmarkStart w:id="8" w:name="_Toc135498023"/>
      <w:r w:rsidRPr="00520DED">
        <w:rPr>
          <w:rFonts w:ascii="Times New Roman" w:hAnsi="Times New Roman"/>
          <w:sz w:val="24"/>
        </w:rPr>
        <w:t>1.</w:t>
      </w:r>
      <w:bookmarkEnd w:id="6"/>
      <w:r w:rsidRPr="00520DED">
        <w:rPr>
          <w:rFonts w:ascii="Times New Roman" w:hAnsi="Times New Roman"/>
          <w:sz w:val="24"/>
        </w:rPr>
        <w:t>2. ПЕРЕЧЕНЬ ПРОФЕССИОНАЛЬНЫХ ЗАДАЧ СПЕЦИАЛИСТА ПО КОМПЕТЕНЦИИ «БУХГАЛТЕРСКИЙ УЧЕТ»</w:t>
      </w:r>
      <w:bookmarkEnd w:id="7"/>
      <w:bookmarkEnd w:id="8"/>
    </w:p>
    <w:p w14:paraId="295B10C3" w14:textId="77777777" w:rsidR="00BA50BC" w:rsidRPr="00BA50BC" w:rsidRDefault="00BA50BC" w:rsidP="00BA50BC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8"/>
          <w:szCs w:val="20"/>
        </w:rPr>
      </w:pPr>
      <w:r w:rsidRPr="00BA50BC">
        <w:rPr>
          <w:rFonts w:ascii="Times New Roman" w:eastAsia="Calibri" w:hAnsi="Times New Roman" w:cs="Times New Roman"/>
          <w:i/>
          <w:iCs/>
          <w:sz w:val="28"/>
          <w:szCs w:val="20"/>
        </w:rPr>
        <w:t>Таблица №1</w:t>
      </w:r>
    </w:p>
    <w:p w14:paraId="259EC635" w14:textId="77777777" w:rsidR="00BA50BC" w:rsidRPr="00BA50BC" w:rsidRDefault="00BA50BC" w:rsidP="00BA50BC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A50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5726B007" w14:textId="77777777" w:rsidR="00BA50BC" w:rsidRPr="00BA50BC" w:rsidRDefault="00BA50BC" w:rsidP="00BA50B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BA50BC" w:rsidRPr="00BA50BC" w14:paraId="1158444F" w14:textId="77777777" w:rsidTr="009864DD">
        <w:tc>
          <w:tcPr>
            <w:tcW w:w="330" w:type="pct"/>
            <w:shd w:val="clear" w:color="auto" w:fill="92D050"/>
            <w:vAlign w:val="center"/>
          </w:tcPr>
          <w:p w14:paraId="418CDA5E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53A23086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BA50BC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102C5F7F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BA50BC" w:rsidRPr="00BA50BC" w14:paraId="1C709EEC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24154E2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F620ED6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 применения законодательства и регламентирующих документов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FDFEC15" w14:textId="77777777" w:rsidR="00BA50BC" w:rsidRPr="00BA50BC" w:rsidRDefault="00BA50BC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BA50BC" w:rsidRPr="00BA50BC" w14:paraId="43BC5FDF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78D8D8A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C7BBDBF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2B47B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о</w:t>
            </w:r>
            <w:r w:rsidRPr="00BA50BC">
              <w:rPr>
                <w:rFonts w:ascii="Calibri" w:eastAsia="Calibri" w:hAnsi="Calibri" w:cs="Times New Roman"/>
              </w:rPr>
              <w:t xml:space="preserve"> </w:t>
            </w:r>
            <w:hyperlink r:id="rId9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налогах и сборах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hyperlink r:id="rId10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аудиторской деятельности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hyperlink r:id="rId11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архивном деле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социальном и медицинском страховании, пенсионном обеспечении; </w:t>
            </w:r>
            <w:hyperlink r:id="rId12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о противодействии коррупции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 и коммерческому подкупу, </w:t>
            </w:r>
            <w:hyperlink r:id="rId13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легализации (отмыванию) доходов, полученных преступным путем, и финансированию терроризма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  <w:hyperlink r:id="rId14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гражданское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hyperlink r:id="rId15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таможенное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hyperlink r:id="rId16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трудовое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hyperlink r:id="rId17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валютное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hyperlink r:id="rId18" w:history="1">
              <w:r w:rsidRPr="00BA50BC">
                <w:rPr>
                  <w:rFonts w:ascii="Times New Roman" w:eastAsia="Calibri" w:hAnsi="Times New Roman" w:cs="Times New Roman"/>
                  <w:sz w:val="24"/>
                </w:rPr>
                <w:t>бюджетное законодательство</w:t>
              </w:r>
            </w:hyperlink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 Российской Федерации; законодательство Российско</w:t>
            </w:r>
            <w:r w:rsidRPr="00BA50BC">
              <w:rPr>
                <w:rFonts w:ascii="Calibri" w:eastAsia="Calibri" w:hAnsi="Calibri" w:cs="Times New Roman"/>
              </w:rPr>
              <w:t xml:space="preserve">й </w:t>
            </w:r>
            <w:r w:rsidRPr="00BA50BC">
              <w:rPr>
                <w:rFonts w:ascii="Times New Roman" w:eastAsia="Calibri" w:hAnsi="Times New Roman" w:cs="Times New Roman"/>
                <w:sz w:val="24"/>
              </w:rPr>
              <w:t xml:space="preserve">Федерации в сфере </w:t>
            </w:r>
            <w:r w:rsidRPr="00BA50BC">
              <w:rPr>
                <w:rFonts w:ascii="Times New Roman" w:eastAsia="Calibri" w:hAnsi="Times New Roman" w:cs="Times New Roman"/>
                <w:sz w:val="24"/>
              </w:rPr>
              <w:lastRenderedPageBreak/>
              <w:t>деятельности экономического субъекта</w:t>
            </w:r>
            <w:r w:rsidRPr="00BA50BC">
              <w:rPr>
                <w:rFonts w:ascii="Calibri" w:eastAsia="Calibri" w:hAnsi="Calibri" w:cs="Times New Roman"/>
              </w:rPr>
              <w:t>;</w:t>
            </w:r>
          </w:p>
          <w:p w14:paraId="416A1C2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14:paraId="1EC6EF9E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документы, регламентирующие правила стоимостного измерения объектов бухгалтерского учета; </w:t>
            </w:r>
          </w:p>
          <w:p w14:paraId="50E34602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об ответственности за непредставление или представление недостоверной отчетности;</w:t>
            </w:r>
          </w:p>
          <w:p w14:paraId="3A018AC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Российской Федерации о налогах и сборах, в области социального и медицинского страхования, пенсионного обеспечения, законодательство, регулирующее административное и уголовное право в части ответственности за нарушения в сфере уплаты налогов и сборов; </w:t>
            </w:r>
          </w:p>
          <w:p w14:paraId="6834C14A" w14:textId="4B68477B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AE8100B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7BB8F1FB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B6BABD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926BE7F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E67062C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мониторинг законодательства Российской Федерации о налогах и сборах, правоприменительной практики и разъяснений государственных органов;</w:t>
            </w:r>
          </w:p>
          <w:p w14:paraId="31649F86" w14:textId="21A26BED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нормативные право</w:t>
            </w:r>
            <w:r w:rsidR="00EE08A3">
              <w:rPr>
                <w:rFonts w:ascii="Times New Roman" w:eastAsia="Calibri" w:hAnsi="Times New Roman" w:cs="Times New Roman"/>
                <w:sz w:val="24"/>
                <w:szCs w:val="24"/>
              </w:rPr>
              <w:t>вые акты в учетной деятельности.</w:t>
            </w:r>
          </w:p>
          <w:p w14:paraId="7C48B3D7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0C2828FC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036595EF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128315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DFA3D9B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программ для ведения бухгалтерского учета, информационных систем и офисной техники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41A6371" w14:textId="77777777" w:rsidR="00BA50BC" w:rsidRPr="00BA50BC" w:rsidRDefault="00BA50BC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BA50BC" w:rsidRPr="00BA50BC" w14:paraId="51D6D98A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B35A7E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477E81F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710A995" w14:textId="4F40DE6E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программы для ведения бухгалтерского учета</w:t>
            </w:r>
            <w:r w:rsidR="00EE08A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5467513" w14:textId="06A1F968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обмена информацией по телекоммуникационным каналам связи</w:t>
            </w:r>
            <w:r w:rsidR="00EE08A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B06195F" w14:textId="0EE9BD49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автоматизированной обработки информации</w:t>
            </w:r>
            <w:r w:rsidR="00EE08A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407FF38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776FB821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A6466F0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8CDDCEE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CA164D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профессиональными компьютерными программами для ведения учета;</w:t>
            </w:r>
          </w:p>
          <w:p w14:paraId="66A63F6E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информационными и справочно-правовыми системами, оргтехникой;</w:t>
            </w:r>
          </w:p>
          <w:p w14:paraId="12DC4910" w14:textId="7A8B1983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общее и профессиональное прикладное программное обеспечение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7EBA615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технологии и информационные ресурсы для проверки контрагентов налогоплательщика.</w:t>
            </w:r>
          </w:p>
          <w:p w14:paraId="164F411C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79817B9A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41C1A95F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3F7CD7E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49305D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документами и организация документооборота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548D68" w14:textId="4D8E3CDF" w:rsidR="00BA50BC" w:rsidRPr="00BA50BC" w:rsidRDefault="00A624BE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6,9</w:t>
            </w:r>
          </w:p>
        </w:tc>
      </w:tr>
      <w:tr w:rsidR="00BA50BC" w:rsidRPr="00BA50BC" w14:paraId="3FF01E05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D8B6C24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8C0779F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AB9E0B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требования к документированию хозяйственных действий и операций; </w:t>
            </w:r>
          </w:p>
          <w:p w14:paraId="47EF5B32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448A715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проведения проверки бухгалтерских документов; </w:t>
            </w:r>
          </w:p>
          <w:p w14:paraId="0E2B113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14:paraId="253F3E93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учетные документы налогового учета;</w:t>
            </w:r>
          </w:p>
          <w:p w14:paraId="0650429B" w14:textId="6414F8FA" w:rsidR="00BA50BC" w:rsidRPr="00BA50BC" w:rsidRDefault="00FA3440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хранения документов.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017E66F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5F0B683C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9BC7CA8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F0726E0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06B444D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документооборот;</w:t>
            </w:r>
          </w:p>
          <w:p w14:paraId="0E28318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график документооборота;</w:t>
            </w:r>
          </w:p>
          <w:p w14:paraId="37004BE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(оформлять), принимать первичные бухгалтерские документы, в том числе электронные;</w:t>
            </w:r>
          </w:p>
          <w:p w14:paraId="216BAFB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формы первичных учетных документов, регистров; </w:t>
            </w:r>
          </w:p>
          <w:p w14:paraId="3B3FA83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комплексную проверку первичных учетных документов;</w:t>
            </w:r>
          </w:p>
          <w:p w14:paraId="1424FF1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исправлять ошибки в первичных учетных документах; </w:t>
            </w:r>
          </w:p>
          <w:p w14:paraId="6A5A6579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первичные учетные документы;</w:t>
            </w:r>
          </w:p>
          <w:p w14:paraId="28F3D08A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сохранность первичных учетных документов;</w:t>
            </w:r>
          </w:p>
          <w:p w14:paraId="2C94021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 основе первичных документов сводные учетные документы;</w:t>
            </w:r>
          </w:p>
          <w:p w14:paraId="452122E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вести архив учетной и налоговой  документации.</w:t>
            </w:r>
          </w:p>
          <w:p w14:paraId="23446C4E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12FBC042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1E02D30F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3AAB1D8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6758276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группировка и итоговое обобщение учетной информации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51ABE48" w14:textId="77777777" w:rsidR="00BA50BC" w:rsidRPr="00BA50BC" w:rsidRDefault="00BA50BC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12,4</w:t>
            </w:r>
          </w:p>
        </w:tc>
      </w:tr>
      <w:tr w:rsidR="00BA50BC" w:rsidRPr="00BA50BC" w14:paraId="4F97D8D2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D67A683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C6BD50B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D8DEBE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регистров бухгалтерского учета;</w:t>
            </w:r>
          </w:p>
          <w:p w14:paraId="0DE5C70A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бухгалтерскими проводками начисления и перечисления сумм налогов и сборов;</w:t>
            </w:r>
          </w:p>
          <w:p w14:paraId="43117DF5" w14:textId="0CEFD892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учет расчетов по социальному страхованию и </w:t>
            </w:r>
            <w:r w:rsidR="00FA3440"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обеспечению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11A0A1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14:paraId="2F026914" w14:textId="25940431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методы обобщения информации о хозяйственных операциях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за отчетный период.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A85F1BF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1517A2FB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F65BF1E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D6198AC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42ACFDC" w14:textId="3A71A4BE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974E87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учет активов, капитала и обязательств организации;</w:t>
            </w:r>
          </w:p>
          <w:p w14:paraId="4505EF6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бухгалтерские записи в соответствии с рабочим планом счетов экономического субъекта; </w:t>
            </w:r>
          </w:p>
          <w:p w14:paraId="0FBDE65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ошибки, допущенные при ведении учета, в соответствии с установленными правилами;</w:t>
            </w:r>
          </w:p>
          <w:p w14:paraId="03393EC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способы ведения бухгалтерского учета и их последствия;</w:t>
            </w:r>
          </w:p>
          <w:p w14:paraId="4629A56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заносить данные по сгруппированным документам в регистры учета и регистры налогового учета; </w:t>
            </w:r>
          </w:p>
          <w:p w14:paraId="46BBC6E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оборотно-сальдовые ведомости;</w:t>
            </w:r>
          </w:p>
          <w:p w14:paraId="2CCA4BE9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 комплектовать регистры учета за отчетный период;</w:t>
            </w:r>
          </w:p>
          <w:p w14:paraId="67CEE1C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регистров учета;</w:t>
            </w:r>
          </w:p>
          <w:p w14:paraId="06B7F7E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процесс сверки расчетов;</w:t>
            </w:r>
          </w:p>
          <w:p w14:paraId="5AAEB26F" w14:textId="5265D55F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справки, ответы на запросы, содержащие информац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ию, формируемую в системе учета.</w:t>
            </w:r>
          </w:p>
          <w:p w14:paraId="7B0031C6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518276E2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25DC11A9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6D439B8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6B72D12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Денежное измерение объектов бухгалтерского учета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C48F497" w14:textId="77777777" w:rsidR="00BA50BC" w:rsidRPr="00BA50BC" w:rsidRDefault="00BA50BC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BA50BC" w:rsidRPr="00BA50BC" w14:paraId="20F27A62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69E3AD8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F4417A7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4C61C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ведения учета активов, капитала и обязательств </w:t>
            </w: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организации; </w:t>
            </w:r>
          </w:p>
          <w:p w14:paraId="775099F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методы калькулирования себестоимости продукции (работ, услуг);</w:t>
            </w:r>
          </w:p>
          <w:p w14:paraId="6A2F5DE3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исчислять рублевый эквивалент выраженной в иностранной валюте стоимости активов и обязательств;</w:t>
            </w:r>
          </w:p>
          <w:p w14:paraId="3631C07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методы определения результатов хозяйственной деятельности за отчетный период.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B2018E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1BBF2BBA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14DB442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D08F35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B6CF0C9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стоимостного измерения объектов бухгалтерского учета;</w:t>
            </w:r>
          </w:p>
          <w:p w14:paraId="6D5DF2E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исчислять рублевый эквивалент выраженной в иностранной валюте стоимости активов и обязательств;</w:t>
            </w:r>
          </w:p>
          <w:p w14:paraId="483CAEB5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заработной платы, пособий и иных выплат работникам;</w:t>
            </w:r>
          </w:p>
          <w:p w14:paraId="5B073C7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способы начисления амортизации, принятые в учетной политике;</w:t>
            </w:r>
          </w:p>
          <w:p w14:paraId="3FA815A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калькулирования себестоимости продукции (работ, услуг), составлять отчетные калькуляции;</w:t>
            </w:r>
          </w:p>
          <w:p w14:paraId="2E53486A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бухгалтерском учете выявленные расхождения между фактическим наличием объектов и данными регистров бухгалтерского учета;</w:t>
            </w:r>
          </w:p>
          <w:p w14:paraId="4C0DCC72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отклонения по затратам на материалы, труд, переменные накладные расходы и отклонения по продажам;</w:t>
            </w:r>
          </w:p>
          <w:p w14:paraId="48690542" w14:textId="27B76D2A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видам деятельности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FB98A1" w14:textId="77777777" w:rsidR="00BA50BC" w:rsidRPr="00BA50BC" w:rsidRDefault="00BA50BC" w:rsidP="00BA50BC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721B48A7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538E4676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FFD3832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0617D6E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Налогообложение и налоговый учет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159F55" w14:textId="066611D8" w:rsidR="00BA50BC" w:rsidRPr="00BA50BC" w:rsidRDefault="00A624BE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27,7</w:t>
            </w:r>
          </w:p>
        </w:tc>
      </w:tr>
      <w:tr w:rsidR="00BA50BC" w:rsidRPr="00BA50BC" w14:paraId="6F486621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4320924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956F9C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5E7A318" w14:textId="42E39AF5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 сроки уплаты обязательных платежей по налогам, сборам, страховым взносам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68870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расчет налоговой базы;</w:t>
            </w:r>
          </w:p>
          <w:p w14:paraId="3F10803E" w14:textId="7472BB0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налогообложения д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ля исчисления страховых взносов;</w:t>
            </w:r>
          </w:p>
          <w:p w14:paraId="7714918D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нагрузку организаций; </w:t>
            </w:r>
          </w:p>
          <w:p w14:paraId="6B20D5EA" w14:textId="2810AF86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формы налоговых деклараций по налогам и сборам, отчетов по страховым взносам в ФНС России и государственные внебюджетные фонды и процедуру их заполнения и представления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5BB7069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14:paraId="62D45677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разработки учетной политики в целях налогообложения;</w:t>
            </w:r>
          </w:p>
          <w:p w14:paraId="070609C5" w14:textId="548A581A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разработки схем налоговой оптим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изации деятельности организации.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DB18BAF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329A6F87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782EA9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46F4ECC" w14:textId="77777777" w:rsidR="00BA50BC" w:rsidRPr="00BA50BC" w:rsidRDefault="00BA50BC" w:rsidP="00BA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D2E9FB5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идентифицировать объекты налогообложения; </w:t>
            </w:r>
          </w:p>
          <w:p w14:paraId="40B1B40D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исчислять налогооблагаемую базу, сумму налога и сбора; </w:t>
            </w:r>
          </w:p>
          <w:p w14:paraId="7C5533A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объекты налогообложения, исчислять налогооблагаемую базу, сумму взносов в государственные внебюджетные фонды;</w:t>
            </w:r>
          </w:p>
          <w:p w14:paraId="6BAAB0AE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уплаты налогов, сборов, пошлин;</w:t>
            </w:r>
          </w:p>
          <w:p w14:paraId="0E48F38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информацию первичных учетных и </w:t>
            </w: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налоговых документов,  необходимых для исполнения налоговых обязанностей;</w:t>
            </w:r>
          </w:p>
          <w:p w14:paraId="1FB366AD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применять эффективный набор инструментов налогового планирования;</w:t>
            </w:r>
          </w:p>
          <w:p w14:paraId="4076AC27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различные способы налоговой оптимизации;</w:t>
            </w:r>
          </w:p>
          <w:p w14:paraId="23B71B9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налоговые последствия для экономического субъекта;</w:t>
            </w:r>
          </w:p>
          <w:p w14:paraId="42A9B43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и оформлять документы, необходимые для исполнения налоговых обязанностей;</w:t>
            </w:r>
          </w:p>
          <w:p w14:paraId="0373655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налоговую политику экономического субъекта в связи с изменениями законодательства о налогах и сборах;</w:t>
            </w:r>
          </w:p>
          <w:p w14:paraId="7D039FC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по вопросам, связанным с исполнением обязанностей по исчислению и уплате налогов, страховых взносов, сборов;</w:t>
            </w:r>
          </w:p>
          <w:p w14:paraId="0F14B790" w14:textId="6F4C6AFC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информацию при формировани</w:t>
            </w:r>
            <w:r w:rsidR="00AD246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налоговой отчетности во время осуществления мероприятий внутреннего и налогового контроля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D2B9F3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налоговые расчеты и декларации;</w:t>
            </w:r>
          </w:p>
          <w:p w14:paraId="3734605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 в налоговых расчетах и декларациях;</w:t>
            </w:r>
          </w:p>
          <w:p w14:paraId="6F5FD06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налоговые расчеты и декларации, финансовую отчетность в надлежащие адреса и в установленные сроки;</w:t>
            </w:r>
          </w:p>
          <w:p w14:paraId="49C9E19E" w14:textId="2DFD8FE6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проверки качества составления налоговой отчетности и отчетности в гос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ударственные внебюджетные фонды.</w:t>
            </w:r>
          </w:p>
          <w:p w14:paraId="60E15638" w14:textId="77777777" w:rsidR="00BA50BC" w:rsidRPr="00BA50BC" w:rsidRDefault="00BA50BC" w:rsidP="00BA50BC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3FB58ACB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1C69676D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9B56974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6F9B780E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Бухгалтерская (финансовая) отчетность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A59A706" w14:textId="770A72AE" w:rsidR="00BA50BC" w:rsidRPr="00BA50BC" w:rsidRDefault="00BA50BC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E57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A50BC" w:rsidRPr="00BA50BC" w14:paraId="7CF53445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B176B3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D236A0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A830F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и ведения внутренней бухгалтерской отчетности;</w:t>
            </w:r>
          </w:p>
          <w:p w14:paraId="596B4F11" w14:textId="7E6E25B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 и содержание форм бухгалтерской финансовой отчетности, процедуру их составления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4C5292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бухгалтерской отчетности организации;</w:t>
            </w:r>
          </w:p>
          <w:p w14:paraId="1AC78453" w14:textId="3B411928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внесения исправлений в бухгалтерскую отчетность в случае выявления неправильного отражения хозяйс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твенных операций.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2C1381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097ED14C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5E3375F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8D01E89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330649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решения по организации процесса составления и представления бухгалтерской (финансовой) отчетности;</w:t>
            </w:r>
          </w:p>
          <w:p w14:paraId="32906B4C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целевого использования средств, соблюдения финансовой дисциплины и своевременности расчетов;</w:t>
            </w:r>
          </w:p>
          <w:p w14:paraId="6971060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существенность информации, раскрываемой в бухгалтерской (финансовой) отчетности;</w:t>
            </w:r>
          </w:p>
          <w:p w14:paraId="3001C01E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отчетности;</w:t>
            </w:r>
          </w:p>
          <w:p w14:paraId="4E341CDC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детализировать показатели по статьям форм отчетов, входящих в пояснения к бухгалтерскому балансу и отчету о финансовых результатах;</w:t>
            </w:r>
          </w:p>
          <w:p w14:paraId="4043F538" w14:textId="62AFB96C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бухгал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терской (финансовой) отчетности.</w:t>
            </w: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234242" w14:textId="77777777" w:rsidR="00BA50BC" w:rsidRPr="00BA50BC" w:rsidRDefault="00BA50BC" w:rsidP="00BA50BC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05B19A73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4A582A2B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13007D4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AA94B34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бюджетирование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BB6AEAF" w14:textId="77777777" w:rsidR="00BA50BC" w:rsidRPr="00BA50BC" w:rsidRDefault="00BA50BC" w:rsidP="00BA50B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31,5</w:t>
            </w:r>
          </w:p>
        </w:tc>
      </w:tr>
      <w:tr w:rsidR="00BA50BC" w:rsidRPr="00BA50BC" w14:paraId="1242120D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3568F1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ABCF6B2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E50D61E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методы финансового анализа</w:t>
            </w:r>
            <w:r w:rsidRPr="00BA50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 финансовых вычислений;</w:t>
            </w:r>
          </w:p>
          <w:p w14:paraId="5E33135D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отчетности;</w:t>
            </w:r>
          </w:p>
          <w:p w14:paraId="687AC82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ликвидности бухгалтерского баланса;</w:t>
            </w:r>
          </w:p>
          <w:p w14:paraId="495D533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расчета финансовых коэффициентов для оценки платежеспособности;</w:t>
            </w:r>
          </w:p>
          <w:p w14:paraId="1C4D3C2B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 критериев оценки несостоятельности (банкротства) организации;</w:t>
            </w:r>
          </w:p>
          <w:p w14:paraId="5A0A0E6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устойчивости;</w:t>
            </w:r>
          </w:p>
          <w:p w14:paraId="4ED70B30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бухгалтерского баланса;</w:t>
            </w:r>
          </w:p>
          <w:p w14:paraId="2AD509C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отчета о финансовых результатах;</w:t>
            </w:r>
          </w:p>
          <w:p w14:paraId="49E3F85F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методы общей оценки деловой активности организации,</w:t>
            </w:r>
          </w:p>
          <w:p w14:paraId="49BC2463" w14:textId="10CEEF13" w:rsidR="00BA50BC" w:rsidRPr="00BA50BC" w:rsidRDefault="00AD2467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467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финансовых результатов, финансового положения и финансовых возможностей организации</w:t>
            </w:r>
            <w:r w:rsidR="00BA50BC"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51CCB591" w14:textId="1D8F2D7D" w:rsidR="00BA50BC" w:rsidRPr="00BA50BC" w:rsidRDefault="00AD2467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оценки </w:t>
            </w:r>
            <w:r w:rsidR="00BA50BC"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текущих финансовых потребностей организации;</w:t>
            </w:r>
          </w:p>
          <w:p w14:paraId="355E6015" w14:textId="22992CF6" w:rsidR="00BA50BC" w:rsidRPr="00BA50BC" w:rsidRDefault="00AD2467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оценки </w:t>
            </w:r>
            <w:r w:rsidR="00BA50BC"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инвестиционных проектов и источников их финансирования;</w:t>
            </w:r>
          </w:p>
          <w:p w14:paraId="0098C865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бюджетов, включая планирование, информационное взаимодействие, координацию, мотивацию, авторизацию, контроль и оценку;</w:t>
            </w:r>
          </w:p>
          <w:p w14:paraId="004C781A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процессы и конфликты, которые могут возникнуть; </w:t>
            </w:r>
          </w:p>
          <w:p w14:paraId="10A833C6" w14:textId="0A693EFA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стратегии ценообразования и их последствия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FD6E5FE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0BC" w:rsidRPr="00BA50BC" w14:paraId="315B9542" w14:textId="77777777" w:rsidTr="009864DD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BB28DC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61B32E0" w14:textId="77777777" w:rsidR="00BA50BC" w:rsidRPr="00BA50BC" w:rsidRDefault="00BA50BC" w:rsidP="00BA50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C7B82A1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информации для проведения финансового анализа экономического субъекта;</w:t>
            </w:r>
          </w:p>
          <w:p w14:paraId="294F50BA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финансовый потенциал, ликвидность и платежеспособность, финансовую устойчивость, рентабельность, инвестиционную привлекательность экономического субъекта;</w:t>
            </w:r>
          </w:p>
          <w:p w14:paraId="62D8BB52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потенциальные риски и возможности экономического субъекта;</w:t>
            </w:r>
          </w:p>
          <w:p w14:paraId="2F972B22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изменений, произошедших за отчетный период;</w:t>
            </w:r>
          </w:p>
          <w:p w14:paraId="555E71DF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анализа;</w:t>
            </w:r>
          </w:p>
          <w:p w14:paraId="23434C88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аналитические отчеты и представлять их заинтересованным пользователям;</w:t>
            </w:r>
          </w:p>
          <w:p w14:paraId="67DBD30C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773C64CC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62F3E67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действия, которые могут быть приняты для улучшения финансовой эффективности организации и ее финансового положения;</w:t>
            </w:r>
          </w:p>
          <w:p w14:paraId="41DD1C8D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возможность разделения организации на центры ответственности;</w:t>
            </w:r>
          </w:p>
          <w:p w14:paraId="5A9D2556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объем работ по бюджетированию и финансовому планированию и потребность в трудовых, финансовых и материально-технических ресурсах;</w:t>
            </w:r>
          </w:p>
          <w:p w14:paraId="59AE4575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структуру бюджетов денежных средств, а также перспективных и оперативных финансовых планов;</w:t>
            </w:r>
          </w:p>
          <w:p w14:paraId="0DAB84F4" w14:textId="7777777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08184A41" w14:textId="77F70C67" w:rsidR="00BA50BC" w:rsidRPr="00BA50BC" w:rsidRDefault="00BA50BC" w:rsidP="00BA50BC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B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об исполнении бюджетов дене</w:t>
            </w:r>
            <w:r w:rsidR="00FA3440">
              <w:rPr>
                <w:rFonts w:ascii="Times New Roman" w:eastAsia="Calibri" w:hAnsi="Times New Roman" w:cs="Times New Roman"/>
                <w:sz w:val="24"/>
                <w:szCs w:val="24"/>
              </w:rPr>
              <w:t>жных средств, финансовых планов.</w:t>
            </w:r>
          </w:p>
          <w:p w14:paraId="26E54946" w14:textId="77777777" w:rsidR="00BA50BC" w:rsidRPr="00BA50BC" w:rsidRDefault="00BA50BC" w:rsidP="00BA50BC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4538DBF8" w14:textId="77777777" w:rsidR="00BA50BC" w:rsidRPr="00BA50BC" w:rsidRDefault="00BA50BC" w:rsidP="00BA50B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F64858" w14:textId="77777777" w:rsidR="00BA50BC" w:rsidRPr="00520DED" w:rsidRDefault="00BA50BC" w:rsidP="00520DED">
      <w:pPr>
        <w:pStyle w:val="-2"/>
        <w:jc w:val="center"/>
        <w:rPr>
          <w:rFonts w:ascii="Times New Roman" w:hAnsi="Times New Roman"/>
          <w:sz w:val="24"/>
        </w:rPr>
      </w:pPr>
      <w:bookmarkStart w:id="9" w:name="_Toc78885655"/>
      <w:bookmarkStart w:id="10" w:name="_Toc126269909"/>
      <w:bookmarkStart w:id="11" w:name="_Toc135498024"/>
      <w:r w:rsidRPr="00520DED"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9"/>
      <w:bookmarkEnd w:id="10"/>
      <w:bookmarkEnd w:id="11"/>
    </w:p>
    <w:p w14:paraId="52421B67" w14:textId="77777777" w:rsidR="00BA50BC" w:rsidRPr="00BA50BC" w:rsidRDefault="00BA50BC" w:rsidP="00BA50BC">
      <w:pPr>
        <w:widowControl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4D222A8A" w14:textId="77777777" w:rsidR="00BA50BC" w:rsidRPr="00BA50BC" w:rsidRDefault="00BA50BC" w:rsidP="00BA50BC">
      <w:pPr>
        <w:widowControl w:val="0"/>
        <w:snapToGrid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Таблица №2</w:t>
      </w:r>
    </w:p>
    <w:p w14:paraId="32C6CE18" w14:textId="77777777" w:rsidR="00BA50BC" w:rsidRPr="00BA50BC" w:rsidRDefault="00BA50BC" w:rsidP="00520DED">
      <w:pPr>
        <w:widowControl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p w14:paraId="0FDD4005" w14:textId="77777777" w:rsidR="00BA50BC" w:rsidRPr="00BA50BC" w:rsidRDefault="00BA50BC" w:rsidP="00BA50BC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63"/>
        <w:gridCol w:w="329"/>
        <w:gridCol w:w="1034"/>
        <w:gridCol w:w="1034"/>
        <w:gridCol w:w="1034"/>
        <w:gridCol w:w="1036"/>
        <w:gridCol w:w="1038"/>
        <w:gridCol w:w="2061"/>
      </w:tblGrid>
      <w:tr w:rsidR="00BA50BC" w:rsidRPr="00BA50BC" w14:paraId="1010A748" w14:textId="77777777" w:rsidTr="00584B4C">
        <w:trPr>
          <w:trHeight w:val="1538"/>
          <w:jc w:val="center"/>
        </w:trPr>
        <w:tc>
          <w:tcPr>
            <w:tcW w:w="3930" w:type="pct"/>
            <w:gridSpan w:val="7"/>
            <w:shd w:val="clear" w:color="auto" w:fill="92D050"/>
            <w:vAlign w:val="center"/>
          </w:tcPr>
          <w:p w14:paraId="35EDB65D" w14:textId="77777777" w:rsidR="00BA50BC" w:rsidRPr="00BA50BC" w:rsidRDefault="00BA50BC" w:rsidP="00520DE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0BC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70" w:type="pct"/>
            <w:shd w:val="clear" w:color="auto" w:fill="92D050"/>
            <w:vAlign w:val="center"/>
          </w:tcPr>
          <w:p w14:paraId="7B79F09D" w14:textId="77777777" w:rsidR="00BA50BC" w:rsidRPr="00BA50BC" w:rsidRDefault="00BA50BC" w:rsidP="00520DE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0BC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BA50BC" w:rsidRPr="00BA50BC" w14:paraId="78B1F2B3" w14:textId="77777777" w:rsidTr="00584B4C">
        <w:trPr>
          <w:trHeight w:val="50"/>
          <w:jc w:val="center"/>
        </w:trPr>
        <w:tc>
          <w:tcPr>
            <w:tcW w:w="1071" w:type="pct"/>
            <w:vMerge w:val="restart"/>
            <w:shd w:val="clear" w:color="auto" w:fill="92D050"/>
            <w:vAlign w:val="center"/>
          </w:tcPr>
          <w:p w14:paraId="69EE2C87" w14:textId="77777777" w:rsidR="00BA50BC" w:rsidRPr="00BA50BC" w:rsidRDefault="00BA50BC" w:rsidP="00520DE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0BC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1" w:type="pct"/>
            <w:shd w:val="clear" w:color="auto" w:fill="92D050"/>
            <w:vAlign w:val="center"/>
          </w:tcPr>
          <w:p w14:paraId="712F19CC" w14:textId="77777777" w:rsidR="00BA50BC" w:rsidRPr="00BA50BC" w:rsidRDefault="00BA50BC" w:rsidP="00BA50BC">
            <w:pPr>
              <w:widowControl w:val="0"/>
              <w:spacing w:line="276" w:lineRule="auto"/>
              <w:jc w:val="both"/>
              <w:rPr>
                <w:color w:val="FFFFFF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00B050"/>
            <w:vAlign w:val="center"/>
          </w:tcPr>
          <w:p w14:paraId="36FD9062" w14:textId="77777777" w:rsidR="00BA50BC" w:rsidRPr="00BA50BC" w:rsidRDefault="00BA50BC" w:rsidP="00BA50BC">
            <w:pPr>
              <w:widowControl w:val="0"/>
              <w:spacing w:line="276" w:lineRule="auto"/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A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3898E162" w14:textId="77777777" w:rsidR="00BA50BC" w:rsidRPr="00BA50BC" w:rsidRDefault="00BA50BC" w:rsidP="00BA50BC">
            <w:pPr>
              <w:widowControl w:val="0"/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BA50BC"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5C0B4803" w14:textId="77777777" w:rsidR="00BA50BC" w:rsidRPr="00BA50BC" w:rsidRDefault="00BA50BC" w:rsidP="00BA50BC">
            <w:pPr>
              <w:widowControl w:val="0"/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BA50BC"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538" w:type="pct"/>
            <w:shd w:val="clear" w:color="auto" w:fill="00B050"/>
            <w:vAlign w:val="center"/>
          </w:tcPr>
          <w:p w14:paraId="37D68C02" w14:textId="77777777" w:rsidR="00BA50BC" w:rsidRPr="00BA50BC" w:rsidRDefault="00BA50BC" w:rsidP="00BA50BC">
            <w:pPr>
              <w:widowControl w:val="0"/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BA50BC"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539" w:type="pct"/>
            <w:shd w:val="clear" w:color="auto" w:fill="00B050"/>
            <w:vAlign w:val="center"/>
          </w:tcPr>
          <w:p w14:paraId="3CC5F84D" w14:textId="77777777" w:rsidR="00BA50BC" w:rsidRPr="00BA50BC" w:rsidRDefault="00BA50BC" w:rsidP="00BA50BC">
            <w:pPr>
              <w:widowControl w:val="0"/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BA50BC">
              <w:rPr>
                <w:b/>
                <w:color w:val="FFFFFF"/>
                <w:sz w:val="22"/>
                <w:szCs w:val="22"/>
              </w:rPr>
              <w:t>Д</w:t>
            </w:r>
          </w:p>
        </w:tc>
        <w:tc>
          <w:tcPr>
            <w:tcW w:w="1070" w:type="pct"/>
            <w:shd w:val="clear" w:color="auto" w:fill="00B050"/>
            <w:vAlign w:val="center"/>
          </w:tcPr>
          <w:p w14:paraId="11D37812" w14:textId="77777777" w:rsidR="00BA50BC" w:rsidRPr="00BA50BC" w:rsidRDefault="00BA50BC" w:rsidP="00BA50BC">
            <w:pPr>
              <w:widowControl w:val="0"/>
              <w:spacing w:line="276" w:lineRule="auto"/>
              <w:ind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584B4C" w:rsidRPr="00BA50BC" w14:paraId="416FCDC4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5DB8A4A7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F917C9A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1</w:t>
            </w:r>
          </w:p>
        </w:tc>
        <w:tc>
          <w:tcPr>
            <w:tcW w:w="537" w:type="pct"/>
            <w:vAlign w:val="bottom"/>
          </w:tcPr>
          <w:p w14:paraId="5B65E2EE" w14:textId="78AA1AB4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B565A">
              <w:rPr>
                <w:sz w:val="24"/>
                <w:szCs w:val="24"/>
              </w:rPr>
              <w:t>0,20</w:t>
            </w:r>
          </w:p>
        </w:tc>
        <w:tc>
          <w:tcPr>
            <w:tcW w:w="537" w:type="pct"/>
            <w:vAlign w:val="bottom"/>
          </w:tcPr>
          <w:p w14:paraId="6EBFAD22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4A61E80A" w14:textId="20AD148D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538" w:type="pct"/>
            <w:vAlign w:val="bottom"/>
          </w:tcPr>
          <w:p w14:paraId="290F96AF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56148340" w14:textId="2AFA2A02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6BFC199F" w14:textId="2684A529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584B4C" w:rsidRPr="00BA50BC" w14:paraId="7CFF4BF4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7935AC58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B21AB80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2</w:t>
            </w:r>
          </w:p>
        </w:tc>
        <w:tc>
          <w:tcPr>
            <w:tcW w:w="537" w:type="pct"/>
            <w:vAlign w:val="bottom"/>
          </w:tcPr>
          <w:p w14:paraId="75BD06F8" w14:textId="0974D414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B565A">
              <w:rPr>
                <w:sz w:val="24"/>
                <w:szCs w:val="24"/>
              </w:rPr>
              <w:t>1,40</w:t>
            </w:r>
          </w:p>
        </w:tc>
        <w:tc>
          <w:tcPr>
            <w:tcW w:w="537" w:type="pct"/>
            <w:vAlign w:val="bottom"/>
          </w:tcPr>
          <w:p w14:paraId="6FC13E25" w14:textId="1B094568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2,30</w:t>
            </w:r>
          </w:p>
        </w:tc>
        <w:tc>
          <w:tcPr>
            <w:tcW w:w="537" w:type="pct"/>
            <w:vAlign w:val="bottom"/>
          </w:tcPr>
          <w:p w14:paraId="6379FA90" w14:textId="3939B04C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538" w:type="pct"/>
            <w:vAlign w:val="bottom"/>
          </w:tcPr>
          <w:p w14:paraId="598E6085" w14:textId="752D2DE5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4619B1F9" w14:textId="6146A5AC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62CD6742" w14:textId="5923D810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6,7</w:t>
            </w:r>
          </w:p>
        </w:tc>
      </w:tr>
      <w:tr w:rsidR="00584B4C" w:rsidRPr="00BA50BC" w14:paraId="197C9253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6911CEF1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6B3CE4C4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3</w:t>
            </w:r>
          </w:p>
        </w:tc>
        <w:tc>
          <w:tcPr>
            <w:tcW w:w="537" w:type="pct"/>
            <w:vAlign w:val="bottom"/>
          </w:tcPr>
          <w:p w14:paraId="1A211EA7" w14:textId="4F24CDA6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5,40</w:t>
            </w:r>
          </w:p>
        </w:tc>
        <w:tc>
          <w:tcPr>
            <w:tcW w:w="537" w:type="pct"/>
            <w:vAlign w:val="bottom"/>
          </w:tcPr>
          <w:p w14:paraId="03A1B26E" w14:textId="552212C8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537" w:type="pct"/>
            <w:vAlign w:val="bottom"/>
          </w:tcPr>
          <w:p w14:paraId="6D46DD8E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bottom"/>
          </w:tcPr>
          <w:p w14:paraId="52AE883F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0CADB5E0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7F2715CF" w14:textId="454E1E7E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6,6</w:t>
            </w:r>
          </w:p>
        </w:tc>
      </w:tr>
      <w:tr w:rsidR="00584B4C" w:rsidRPr="00BA50BC" w14:paraId="70456723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5B0631D3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7B243EC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4</w:t>
            </w:r>
          </w:p>
        </w:tc>
        <w:tc>
          <w:tcPr>
            <w:tcW w:w="537" w:type="pct"/>
            <w:vAlign w:val="bottom"/>
          </w:tcPr>
          <w:p w14:paraId="2CE4672A" w14:textId="25D17FB9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537" w:type="pct"/>
            <w:vAlign w:val="bottom"/>
          </w:tcPr>
          <w:p w14:paraId="51567319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7C8A72CD" w14:textId="1A4B4E24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538" w:type="pct"/>
            <w:vAlign w:val="bottom"/>
          </w:tcPr>
          <w:p w14:paraId="666311D0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01AF55C6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3E7A2E0C" w14:textId="10290D31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12,4</w:t>
            </w:r>
          </w:p>
        </w:tc>
      </w:tr>
      <w:tr w:rsidR="00584B4C" w:rsidRPr="00BA50BC" w14:paraId="1BFD7FEC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3192A652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62037453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5</w:t>
            </w:r>
          </w:p>
        </w:tc>
        <w:tc>
          <w:tcPr>
            <w:tcW w:w="537" w:type="pct"/>
            <w:vAlign w:val="bottom"/>
          </w:tcPr>
          <w:p w14:paraId="39927A81" w14:textId="1E62579F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537" w:type="pct"/>
            <w:vAlign w:val="bottom"/>
          </w:tcPr>
          <w:p w14:paraId="43728559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1B72830C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bottom"/>
          </w:tcPr>
          <w:p w14:paraId="131A236D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6CCDCBAF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2E0BF688" w14:textId="42C7C4F8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584B4C" w:rsidRPr="00BA50BC" w14:paraId="15DF2E3C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67214345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21E934C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  <w:sz w:val="22"/>
                <w:szCs w:val="22"/>
                <w:lang w:val="en-US"/>
              </w:rPr>
            </w:pPr>
            <w:r w:rsidRPr="00BA50BC">
              <w:rPr>
                <w:b/>
                <w:color w:val="FFFFFF"/>
                <w:sz w:val="22"/>
                <w:szCs w:val="22"/>
                <w:lang w:val="en-US"/>
              </w:rPr>
              <w:t>6</w:t>
            </w:r>
          </w:p>
        </w:tc>
        <w:tc>
          <w:tcPr>
            <w:tcW w:w="537" w:type="pct"/>
            <w:vAlign w:val="bottom"/>
          </w:tcPr>
          <w:p w14:paraId="6A058D4B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720A6969" w14:textId="0F26DFD4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17,70</w:t>
            </w:r>
          </w:p>
        </w:tc>
        <w:tc>
          <w:tcPr>
            <w:tcW w:w="537" w:type="pct"/>
            <w:vAlign w:val="bottom"/>
          </w:tcPr>
          <w:p w14:paraId="147AD8F5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bottom"/>
          </w:tcPr>
          <w:p w14:paraId="47E1F390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4249BCDF" w14:textId="6165787E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21DF7D85" w14:textId="18AFFD2E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17,7</w:t>
            </w:r>
          </w:p>
        </w:tc>
      </w:tr>
      <w:tr w:rsidR="00584B4C" w:rsidRPr="00BA50BC" w14:paraId="15EB3193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2DFD8240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717A8B8B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</w:rPr>
            </w:pPr>
            <w:r w:rsidRPr="00BA50BC">
              <w:rPr>
                <w:b/>
                <w:color w:val="FFFFFF"/>
              </w:rPr>
              <w:t>7</w:t>
            </w:r>
          </w:p>
        </w:tc>
        <w:tc>
          <w:tcPr>
            <w:tcW w:w="537" w:type="pct"/>
            <w:vAlign w:val="bottom"/>
          </w:tcPr>
          <w:p w14:paraId="0548397A" w14:textId="6E7C2BCD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537" w:type="pct"/>
            <w:vAlign w:val="bottom"/>
          </w:tcPr>
          <w:p w14:paraId="3ED1B90A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0EB4858F" w14:textId="784A7185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538" w:type="pct"/>
            <w:vAlign w:val="bottom"/>
          </w:tcPr>
          <w:p w14:paraId="3E747905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155385E4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404443D6" w14:textId="0DE6AAB0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84B4C" w:rsidRPr="00BA50BC" w14:paraId="42322E8F" w14:textId="77777777" w:rsidTr="00584B4C">
        <w:trPr>
          <w:trHeight w:val="50"/>
          <w:jc w:val="center"/>
        </w:trPr>
        <w:tc>
          <w:tcPr>
            <w:tcW w:w="1071" w:type="pct"/>
            <w:vMerge/>
            <w:shd w:val="clear" w:color="auto" w:fill="92D050"/>
            <w:vAlign w:val="center"/>
          </w:tcPr>
          <w:p w14:paraId="7AD99D28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96EEFAF" w14:textId="77777777" w:rsidR="00584B4C" w:rsidRPr="00BA50BC" w:rsidRDefault="00584B4C" w:rsidP="00584B4C">
            <w:pPr>
              <w:widowControl w:val="0"/>
              <w:spacing w:line="276" w:lineRule="auto"/>
              <w:jc w:val="both"/>
              <w:rPr>
                <w:b/>
                <w:color w:val="FFFFFF"/>
              </w:rPr>
            </w:pPr>
            <w:r w:rsidRPr="00BA50BC">
              <w:rPr>
                <w:b/>
                <w:color w:val="FFFFFF"/>
              </w:rPr>
              <w:t>8</w:t>
            </w:r>
          </w:p>
        </w:tc>
        <w:tc>
          <w:tcPr>
            <w:tcW w:w="537" w:type="pct"/>
            <w:vAlign w:val="bottom"/>
          </w:tcPr>
          <w:p w14:paraId="7FEDD2A1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61B66452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2D33851E" w14:textId="521425CA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  <w:r w:rsidRPr="008B565A">
              <w:rPr>
                <w:color w:val="000000"/>
                <w:sz w:val="24"/>
                <w:szCs w:val="24"/>
              </w:rPr>
              <w:t>17,60</w:t>
            </w:r>
          </w:p>
        </w:tc>
        <w:tc>
          <w:tcPr>
            <w:tcW w:w="538" w:type="pct"/>
            <w:vAlign w:val="bottom"/>
          </w:tcPr>
          <w:p w14:paraId="2C8695E2" w14:textId="69FA9816" w:rsidR="00584B4C" w:rsidRPr="00BA50BC" w:rsidRDefault="00584B4C" w:rsidP="00584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bottom"/>
          </w:tcPr>
          <w:p w14:paraId="4230CB9B" w14:textId="77777777" w:rsidR="00584B4C" w:rsidRPr="00BA50BC" w:rsidRDefault="00584B4C" w:rsidP="00584B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64FFBE3E" w14:textId="7A724D25" w:rsidR="00584B4C" w:rsidRPr="00BA50BC" w:rsidRDefault="00584B4C" w:rsidP="00584B4C">
            <w:pPr>
              <w:jc w:val="center"/>
              <w:rPr>
                <w:b/>
                <w:sz w:val="24"/>
                <w:szCs w:val="24"/>
              </w:rPr>
            </w:pPr>
            <w:r w:rsidRPr="00811164">
              <w:rPr>
                <w:b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3A18C4" w:rsidRPr="00BA50BC" w14:paraId="1189F986" w14:textId="77777777" w:rsidTr="00584B4C">
        <w:trPr>
          <w:trHeight w:val="50"/>
          <w:jc w:val="center"/>
        </w:trPr>
        <w:tc>
          <w:tcPr>
            <w:tcW w:w="1242" w:type="pct"/>
            <w:gridSpan w:val="2"/>
            <w:shd w:val="clear" w:color="auto" w:fill="00B050"/>
            <w:vAlign w:val="center"/>
          </w:tcPr>
          <w:p w14:paraId="1A30FC38" w14:textId="77777777" w:rsidR="003A18C4" w:rsidRPr="00BA50BC" w:rsidRDefault="003A18C4" w:rsidP="003A18C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BA50BC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6448A2C5" w14:textId="5DE87259" w:rsidR="003A18C4" w:rsidRPr="00BA50BC" w:rsidRDefault="003A18C4" w:rsidP="003A18C4">
            <w:pPr>
              <w:jc w:val="center"/>
              <w:rPr>
                <w:b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519942C5" w14:textId="05F2A754" w:rsidR="003A18C4" w:rsidRPr="00BA50BC" w:rsidRDefault="003A18C4" w:rsidP="003A18C4">
            <w:pPr>
              <w:jc w:val="center"/>
              <w:rPr>
                <w:b/>
                <w:sz w:val="24"/>
                <w:szCs w:val="24"/>
              </w:rPr>
            </w:pPr>
            <w:r w:rsidRPr="00870FC1">
              <w:rPr>
                <w:b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7FA36C49" w14:textId="1FE2D09C" w:rsidR="003A18C4" w:rsidRPr="00BA50BC" w:rsidRDefault="003A18C4" w:rsidP="003A18C4">
            <w:pPr>
              <w:jc w:val="center"/>
              <w:rPr>
                <w:b/>
                <w:sz w:val="24"/>
                <w:szCs w:val="24"/>
              </w:rPr>
            </w:pPr>
            <w:r w:rsidRPr="00870FC1">
              <w:rPr>
                <w:b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14:paraId="3B7E1BDD" w14:textId="65DBCC00" w:rsidR="003A18C4" w:rsidRPr="00BA50BC" w:rsidRDefault="003A18C4" w:rsidP="003A18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6FFFC420" w14:textId="3ED8B955" w:rsidR="003A18C4" w:rsidRPr="00BA50BC" w:rsidRDefault="003A18C4" w:rsidP="003A18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4213ED78" w14:textId="4FB2C9D2" w:rsidR="003A18C4" w:rsidRPr="00BA50BC" w:rsidRDefault="003A18C4" w:rsidP="003A18C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72</w:t>
            </w:r>
          </w:p>
        </w:tc>
      </w:tr>
    </w:tbl>
    <w:p w14:paraId="753656DA" w14:textId="77777777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p w14:paraId="40AEECD8" w14:textId="77777777" w:rsidR="00BA50BC" w:rsidRPr="00520DED" w:rsidRDefault="00BA50BC" w:rsidP="00520DED">
      <w:pPr>
        <w:pStyle w:val="-2"/>
        <w:jc w:val="center"/>
        <w:rPr>
          <w:rFonts w:ascii="Times New Roman" w:hAnsi="Times New Roman"/>
          <w:sz w:val="24"/>
        </w:rPr>
      </w:pPr>
      <w:bookmarkStart w:id="12" w:name="_Toc126269910"/>
      <w:bookmarkStart w:id="13" w:name="_Toc135498025"/>
      <w:r w:rsidRPr="00520DED">
        <w:rPr>
          <w:rFonts w:ascii="Times New Roman" w:hAnsi="Times New Roman"/>
          <w:sz w:val="24"/>
        </w:rPr>
        <w:t>1.4. СПЕЦИФИКАЦИЯ ОЦЕНКИ КОМПЕТЕНЦИИ</w:t>
      </w:r>
      <w:bookmarkEnd w:id="12"/>
      <w:bookmarkEnd w:id="13"/>
    </w:p>
    <w:p w14:paraId="11C0F9DB" w14:textId="77777777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333E02CD" w14:textId="77777777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50BC">
        <w:rPr>
          <w:rFonts w:ascii="Times New Roman" w:eastAsia="Calibri" w:hAnsi="Times New Roman" w:cs="Times New Roman"/>
          <w:i/>
          <w:iCs/>
          <w:sz w:val="28"/>
          <w:szCs w:val="28"/>
        </w:rPr>
        <w:t>Таблица №3</w:t>
      </w:r>
    </w:p>
    <w:p w14:paraId="6CFE4DCF" w14:textId="77777777" w:rsidR="00BA50BC" w:rsidRPr="00520DED" w:rsidRDefault="00BA50BC" w:rsidP="00520DE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DED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BA50BC" w:rsidRPr="00BA50BC" w14:paraId="0AAF3D0A" w14:textId="77777777" w:rsidTr="009864DD">
        <w:tc>
          <w:tcPr>
            <w:tcW w:w="1851" w:type="pct"/>
            <w:gridSpan w:val="2"/>
            <w:shd w:val="clear" w:color="auto" w:fill="92D050"/>
          </w:tcPr>
          <w:p w14:paraId="72FBE825" w14:textId="77777777" w:rsidR="00BA50BC" w:rsidRPr="00BA50BC" w:rsidRDefault="00BA50BC" w:rsidP="000A77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A50B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4505CDA6" w14:textId="77777777" w:rsidR="00BA50BC" w:rsidRPr="00BA50BC" w:rsidRDefault="00BA50BC" w:rsidP="000A77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A50BC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A50BC" w:rsidRPr="00BA50BC" w14:paraId="564463CD" w14:textId="77777777" w:rsidTr="009864DD">
        <w:tc>
          <w:tcPr>
            <w:tcW w:w="282" w:type="pct"/>
            <w:shd w:val="clear" w:color="auto" w:fill="00B050"/>
          </w:tcPr>
          <w:p w14:paraId="7FC5530A" w14:textId="77777777" w:rsidR="00BA50BC" w:rsidRPr="00BA50BC" w:rsidRDefault="00BA50BC" w:rsidP="00BA50B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FFFFFF"/>
                <w:sz w:val="24"/>
                <w:szCs w:val="24"/>
              </w:rPr>
            </w:pPr>
            <w:r w:rsidRPr="00BA50BC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00F9F7E" w14:textId="77777777" w:rsidR="00BA50BC" w:rsidRPr="00BA50BC" w:rsidRDefault="00BA50BC" w:rsidP="000A77A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Текущий учет и группировка данных</w:t>
            </w:r>
          </w:p>
        </w:tc>
        <w:tc>
          <w:tcPr>
            <w:tcW w:w="3149" w:type="pct"/>
            <w:shd w:val="clear" w:color="auto" w:fill="auto"/>
          </w:tcPr>
          <w:p w14:paraId="02667E2B" w14:textId="77173683" w:rsidR="00BA50BC" w:rsidRPr="00BA50BC" w:rsidRDefault="00BA50BC" w:rsidP="00BA5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владение навыками заполнения первичных документов, организации их группировки </w:t>
            </w:r>
            <w:r w:rsidR="00250D7A">
              <w:rPr>
                <w:sz w:val="24"/>
                <w:szCs w:val="24"/>
              </w:rPr>
              <w:t xml:space="preserve">для </w:t>
            </w:r>
            <w:r w:rsidRPr="00BA50BC">
              <w:rPr>
                <w:sz w:val="24"/>
                <w:szCs w:val="24"/>
              </w:rPr>
              <w:t>хранения, формирования учетных регистров, их соответствие данным первичных  документов.</w:t>
            </w:r>
          </w:p>
          <w:p w14:paraId="3102DF7C" w14:textId="6C6059ED" w:rsidR="00947BC5" w:rsidRPr="00BA50BC" w:rsidRDefault="00BA50BC" w:rsidP="00442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организация ведения синтетического и  аналитического учета, формирование бухгалтерских записей на счетах, владение навыками проведения расчетов</w:t>
            </w:r>
            <w:r w:rsidR="0044287D">
              <w:rPr>
                <w:sz w:val="24"/>
                <w:szCs w:val="24"/>
              </w:rPr>
              <w:t>,</w:t>
            </w:r>
            <w:r w:rsidRPr="00BA50BC">
              <w:rPr>
                <w:sz w:val="24"/>
                <w:szCs w:val="24"/>
              </w:rPr>
              <w:t xml:space="preserve"> формирования стоимости активов. </w:t>
            </w:r>
          </w:p>
        </w:tc>
      </w:tr>
      <w:tr w:rsidR="00BA50BC" w:rsidRPr="00BA50BC" w14:paraId="516F3C07" w14:textId="77777777" w:rsidTr="009864DD">
        <w:tc>
          <w:tcPr>
            <w:tcW w:w="282" w:type="pct"/>
            <w:shd w:val="clear" w:color="auto" w:fill="00B050"/>
          </w:tcPr>
          <w:p w14:paraId="18B59275" w14:textId="77777777" w:rsidR="00BA50BC" w:rsidRPr="00BA50BC" w:rsidRDefault="00BA50BC" w:rsidP="00BA50B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FFFFFF"/>
                <w:sz w:val="24"/>
                <w:szCs w:val="24"/>
              </w:rPr>
            </w:pPr>
            <w:r w:rsidRPr="00BA50BC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8C043F6" w14:textId="77777777" w:rsidR="00BA50BC" w:rsidRPr="00BA50BC" w:rsidRDefault="00BA50BC" w:rsidP="000A77A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Ведение налогового учета </w:t>
            </w:r>
          </w:p>
        </w:tc>
        <w:tc>
          <w:tcPr>
            <w:tcW w:w="3149" w:type="pct"/>
            <w:shd w:val="clear" w:color="auto" w:fill="auto"/>
          </w:tcPr>
          <w:p w14:paraId="52FBE359" w14:textId="18073D34" w:rsidR="00BA50BC" w:rsidRPr="00BA50BC" w:rsidRDefault="00BA50BC" w:rsidP="00BA5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умение проведения расчетов по налогам</w:t>
            </w:r>
            <w:r w:rsidR="00250D7A">
              <w:rPr>
                <w:sz w:val="24"/>
                <w:szCs w:val="24"/>
              </w:rPr>
              <w:t xml:space="preserve">, </w:t>
            </w:r>
            <w:r w:rsidR="00250D7A" w:rsidRPr="00BA50BC">
              <w:rPr>
                <w:sz w:val="24"/>
                <w:szCs w:val="24"/>
              </w:rPr>
              <w:t>взнос</w:t>
            </w:r>
            <w:r w:rsidR="00250D7A">
              <w:rPr>
                <w:sz w:val="24"/>
                <w:szCs w:val="24"/>
              </w:rPr>
              <w:t>ам</w:t>
            </w:r>
            <w:r w:rsidRPr="00BA50BC">
              <w:rPr>
                <w:sz w:val="24"/>
                <w:szCs w:val="24"/>
              </w:rPr>
              <w:t xml:space="preserve"> и сборам, формирования налоговых регистров, оформлени</w:t>
            </w:r>
            <w:r w:rsidR="00250D7A"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</w:t>
            </w:r>
            <w:r w:rsidR="0044287D">
              <w:rPr>
                <w:sz w:val="24"/>
                <w:szCs w:val="24"/>
              </w:rPr>
              <w:t>оплаты</w:t>
            </w:r>
            <w:r w:rsidRPr="00BA50BC">
              <w:rPr>
                <w:sz w:val="24"/>
                <w:szCs w:val="24"/>
              </w:rPr>
              <w:t xml:space="preserve"> налогов и взносов в бюджет.</w:t>
            </w:r>
          </w:p>
          <w:p w14:paraId="244DA2E7" w14:textId="2C1A08CF" w:rsidR="00947BC5" w:rsidRPr="00BA50BC" w:rsidRDefault="00BA50BC" w:rsidP="00250D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lastRenderedPageBreak/>
              <w:t xml:space="preserve">Оценивается </w:t>
            </w:r>
            <w:r w:rsidR="00250D7A"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отчетности, соблюдени</w:t>
            </w:r>
            <w:r w:rsidR="00250D7A"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сроков ее представления.</w:t>
            </w:r>
          </w:p>
        </w:tc>
      </w:tr>
      <w:tr w:rsidR="00BA50BC" w:rsidRPr="00BA50BC" w14:paraId="517952BD" w14:textId="77777777" w:rsidTr="009864DD">
        <w:tc>
          <w:tcPr>
            <w:tcW w:w="282" w:type="pct"/>
            <w:shd w:val="clear" w:color="auto" w:fill="00B050"/>
          </w:tcPr>
          <w:p w14:paraId="335EB6A7" w14:textId="77777777" w:rsidR="00BA50BC" w:rsidRPr="00BA50BC" w:rsidRDefault="00BA50BC" w:rsidP="00BA50B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FFFFFF"/>
                <w:sz w:val="24"/>
                <w:szCs w:val="24"/>
              </w:rPr>
            </w:pPr>
            <w:r w:rsidRPr="00BA50BC">
              <w:rPr>
                <w:b/>
                <w:color w:val="FFFFFF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39203E7" w14:textId="77777777" w:rsidR="00BA50BC" w:rsidRPr="00BA50BC" w:rsidRDefault="00BA50BC" w:rsidP="000A77A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Составление бухгалтерской (финансовой)  отчетности и ее анализ</w:t>
            </w:r>
          </w:p>
        </w:tc>
        <w:tc>
          <w:tcPr>
            <w:tcW w:w="3149" w:type="pct"/>
            <w:shd w:val="clear" w:color="auto" w:fill="auto"/>
          </w:tcPr>
          <w:p w14:paraId="23AC8997" w14:textId="194712E4" w:rsidR="00BA50BC" w:rsidRPr="00BA50BC" w:rsidRDefault="00BA50BC" w:rsidP="00BA5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 w:rsidR="00250D7A">
              <w:rPr>
                <w:sz w:val="24"/>
                <w:szCs w:val="24"/>
              </w:rPr>
              <w:t>навык</w:t>
            </w:r>
            <w:r w:rsidRPr="00BA50BC">
              <w:rPr>
                <w:sz w:val="24"/>
                <w:szCs w:val="24"/>
              </w:rPr>
              <w:t xml:space="preserve"> заполнения форм бухгалтерской (финансовой) отчетности, формировани</w:t>
            </w:r>
            <w:r w:rsidR="00250D7A"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ее показателей.</w:t>
            </w:r>
          </w:p>
          <w:p w14:paraId="2D272313" w14:textId="6835C784" w:rsidR="00947BC5" w:rsidRPr="00BA50BC" w:rsidRDefault="00BA50BC" w:rsidP="00250D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 w:rsidR="00250D7A">
              <w:rPr>
                <w:sz w:val="24"/>
                <w:szCs w:val="24"/>
              </w:rPr>
              <w:t>умение</w:t>
            </w:r>
            <w:r w:rsidR="00947BC5">
              <w:rPr>
                <w:sz w:val="24"/>
                <w:szCs w:val="24"/>
              </w:rPr>
              <w:t xml:space="preserve"> </w:t>
            </w:r>
            <w:r w:rsidRPr="00BA50BC">
              <w:rPr>
                <w:sz w:val="24"/>
                <w:szCs w:val="24"/>
              </w:rPr>
              <w:t xml:space="preserve">проведения анализа </w:t>
            </w:r>
            <w:r w:rsidR="00947BC5">
              <w:rPr>
                <w:sz w:val="24"/>
                <w:szCs w:val="24"/>
              </w:rPr>
              <w:t xml:space="preserve">финансовой отчетности и </w:t>
            </w:r>
            <w:r w:rsidRPr="00BA50BC">
              <w:rPr>
                <w:sz w:val="24"/>
                <w:szCs w:val="24"/>
              </w:rPr>
              <w:t xml:space="preserve">показателей финансового состояния компании, вероятность </w:t>
            </w:r>
            <w:r w:rsidR="00250D7A">
              <w:rPr>
                <w:sz w:val="24"/>
                <w:szCs w:val="24"/>
              </w:rPr>
              <w:t xml:space="preserve">ее </w:t>
            </w:r>
            <w:r w:rsidRPr="00BA50BC">
              <w:rPr>
                <w:sz w:val="24"/>
                <w:szCs w:val="24"/>
              </w:rPr>
              <w:t>банкротства, качество сформированных выводов по проведенному анализу, а также отчета по проведенному анализу.</w:t>
            </w:r>
          </w:p>
        </w:tc>
      </w:tr>
    </w:tbl>
    <w:p w14:paraId="25AC1E40" w14:textId="77777777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C9EAAA" w14:textId="77777777" w:rsidR="00BA50BC" w:rsidRPr="00520DED" w:rsidRDefault="00BA50BC" w:rsidP="00520DED">
      <w:pPr>
        <w:pStyle w:val="-2"/>
        <w:jc w:val="center"/>
        <w:rPr>
          <w:rFonts w:ascii="Times New Roman" w:hAnsi="Times New Roman"/>
          <w:sz w:val="24"/>
        </w:rPr>
      </w:pPr>
      <w:bookmarkStart w:id="14" w:name="_Toc126269911"/>
      <w:bookmarkStart w:id="15" w:name="_Toc135498026"/>
      <w:r w:rsidRPr="00520DED">
        <w:rPr>
          <w:rFonts w:ascii="Times New Roman" w:hAnsi="Times New Roman"/>
          <w:sz w:val="24"/>
        </w:rPr>
        <w:t>1.5. КОНКУРСНОЕ ЗАДАНИЕ</w:t>
      </w:r>
      <w:bookmarkEnd w:id="14"/>
      <w:bookmarkEnd w:id="15"/>
    </w:p>
    <w:p w14:paraId="1B5AC7DF" w14:textId="0B90ACA4" w:rsidR="00BA50BC" w:rsidRPr="00520DED" w:rsidRDefault="00BA50BC" w:rsidP="00520D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</w:t>
      </w:r>
      <w:r w:rsidRPr="00520DED">
        <w:rPr>
          <w:rFonts w:ascii="Times New Roman" w:eastAsia="Calibri" w:hAnsi="Times New Roman" w:cs="Times New Roman"/>
          <w:sz w:val="28"/>
          <w:szCs w:val="28"/>
        </w:rPr>
        <w:t>продолжительность Конкурсного задания</w:t>
      </w:r>
      <w:r w:rsidRPr="00FA344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520D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20DED" w:rsidRPr="00520DED">
        <w:rPr>
          <w:rFonts w:ascii="Times New Roman" w:eastAsia="Calibri" w:hAnsi="Times New Roman" w:cs="Times New Roman"/>
          <w:sz w:val="28"/>
          <w:szCs w:val="28"/>
        </w:rPr>
        <w:t>1</w:t>
      </w:r>
      <w:r w:rsidR="00B84E66">
        <w:rPr>
          <w:rFonts w:ascii="Times New Roman" w:eastAsia="Calibri" w:hAnsi="Times New Roman" w:cs="Times New Roman"/>
          <w:sz w:val="28"/>
          <w:szCs w:val="28"/>
        </w:rPr>
        <w:t>4</w:t>
      </w:r>
      <w:r w:rsidRPr="00520DED">
        <w:rPr>
          <w:rFonts w:ascii="Times New Roman" w:eastAsia="Calibri" w:hAnsi="Times New Roman" w:cs="Times New Roman"/>
          <w:sz w:val="28"/>
          <w:szCs w:val="28"/>
        </w:rPr>
        <w:t xml:space="preserve"> ч.</w:t>
      </w:r>
    </w:p>
    <w:p w14:paraId="04B28417" w14:textId="77777777" w:rsidR="00BA50BC" w:rsidRPr="00BA50BC" w:rsidRDefault="00BA50BC" w:rsidP="00520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DED">
        <w:rPr>
          <w:rFonts w:ascii="Times New Roman" w:eastAsia="Calibri" w:hAnsi="Times New Roman" w:cs="Times New Roman"/>
          <w:sz w:val="28"/>
          <w:szCs w:val="28"/>
        </w:rPr>
        <w:t>Количес</w:t>
      </w:r>
      <w:r w:rsidRPr="00BA50BC">
        <w:rPr>
          <w:rFonts w:ascii="Times New Roman" w:eastAsia="Times New Roman" w:hAnsi="Times New Roman" w:cs="Times New Roman"/>
          <w:color w:val="000000"/>
          <w:sz w:val="28"/>
          <w:szCs w:val="28"/>
        </w:rPr>
        <w:t>тво конкурсных дней: 3 дня</w:t>
      </w:r>
    </w:p>
    <w:p w14:paraId="36E163B5" w14:textId="51A274BE" w:rsidR="00BA50BC" w:rsidRPr="00520DED" w:rsidRDefault="00BA50BC" w:rsidP="00520DED">
      <w:pPr>
        <w:pStyle w:val="-2"/>
        <w:jc w:val="center"/>
        <w:rPr>
          <w:rFonts w:ascii="Times New Roman" w:hAnsi="Times New Roman"/>
          <w:sz w:val="24"/>
        </w:rPr>
      </w:pPr>
      <w:bookmarkStart w:id="16" w:name="_Toc126269912"/>
      <w:bookmarkStart w:id="17" w:name="_Toc135498027"/>
      <w:r w:rsidRPr="00520DED">
        <w:rPr>
          <w:rFonts w:ascii="Times New Roman" w:hAnsi="Times New Roman"/>
          <w:sz w:val="24"/>
        </w:rPr>
        <w:t xml:space="preserve">1.5.1. Разработка/выбор конкурсного задания </w:t>
      </w:r>
      <w:bookmarkEnd w:id="16"/>
      <w:bookmarkEnd w:id="17"/>
    </w:p>
    <w:p w14:paraId="7FBADC6F" w14:textId="1306FDBA" w:rsidR="00BA50BC" w:rsidRDefault="00BA50BC" w:rsidP="00570BF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84E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3 модуля</w:t>
      </w:r>
      <w:r w:rsidR="00B84E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</w:t>
      </w:r>
      <w:r w:rsidR="00B84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нкурсного задания составляет 72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E547E5" w14:textId="02827155" w:rsidR="00BA50BC" w:rsidRDefault="00BA50BC" w:rsidP="00570BF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конкурсного задания по компетенции на компьютере участника в рабочей базе программы автоматизации учета (например, 1С:Бухгалтерия 8.3) должны быть внесены основные сведения об организации и остатки по счетам на дату начала ведения учета.</w:t>
      </w:r>
    </w:p>
    <w:p w14:paraId="591DC132" w14:textId="77777777" w:rsidR="00B84E66" w:rsidRDefault="00B84E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83548DC" w14:textId="77777777" w:rsidR="00BA50BC" w:rsidRPr="00520DED" w:rsidRDefault="00BA50BC" w:rsidP="00520DED">
      <w:pPr>
        <w:pStyle w:val="-2"/>
        <w:jc w:val="center"/>
        <w:rPr>
          <w:rFonts w:ascii="Times New Roman" w:hAnsi="Times New Roman"/>
          <w:sz w:val="24"/>
        </w:rPr>
      </w:pPr>
      <w:bookmarkStart w:id="18" w:name="_Toc126269913"/>
      <w:bookmarkStart w:id="19" w:name="_Toc135498028"/>
      <w:r w:rsidRPr="00520DED">
        <w:rPr>
          <w:rFonts w:ascii="Times New Roman" w:hAnsi="Times New Roman"/>
          <w:sz w:val="24"/>
        </w:rPr>
        <w:lastRenderedPageBreak/>
        <w:t>1.5.2. Структура модулей конкурсного задания (инвариант/вариатив)</w:t>
      </w:r>
      <w:bookmarkEnd w:id="18"/>
      <w:bookmarkEnd w:id="19"/>
    </w:p>
    <w:p w14:paraId="736C856F" w14:textId="77777777" w:rsidR="00520DED" w:rsidRDefault="00520DED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9077D" w14:textId="36C416DB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A50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Текущий учет и группировка данных</w:t>
      </w:r>
      <w:r w:rsidR="000A7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8D10A00" w14:textId="0E0CEF16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520DED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520DED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</w:p>
    <w:p w14:paraId="26794F55" w14:textId="77777777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DFF2569" w14:textId="70BE0FE6" w:rsidR="00A624BE" w:rsidRPr="00A624BE" w:rsidRDefault="00A624BE" w:rsidP="00A624B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624BE">
        <w:rPr>
          <w:rFonts w:ascii="Times New Roman" w:eastAsia="Calibri" w:hAnsi="Times New Roman" w:cs="Times New Roman"/>
          <w:sz w:val="28"/>
          <w:szCs w:val="24"/>
          <w:lang w:eastAsia="ru-RU"/>
        </w:rPr>
        <w:t>В рамках модуля Конкурсанту</w:t>
      </w:r>
      <w:r w:rsidRPr="00A624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624B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 профессиональный кейс, содержащий первичную и сводную информацию для ведения текущего учета. </w:t>
      </w:r>
    </w:p>
    <w:p w14:paraId="204B06D6" w14:textId="77777777" w:rsidR="00A624BE" w:rsidRPr="00A624BE" w:rsidRDefault="00A624BE" w:rsidP="00A624B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</w:t>
      </w:r>
      <w:r w:rsidRPr="00A624B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необходимо:</w:t>
      </w:r>
    </w:p>
    <w:p w14:paraId="79520379" w14:textId="50B1A259" w:rsid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разработать учетную политику организации для целей бухгалтерского учета с учетом особенностей ее деятельности. При выборе альтернативного способа ведения учета необходимо у</w:t>
      </w:r>
      <w:bookmarkStart w:id="20" w:name="_GoBack"/>
      <w:bookmarkEnd w:id="20"/>
      <w:r w:rsidRPr="00A624BE">
        <w:rPr>
          <w:rFonts w:ascii="Times New Roman" w:eastAsia="Calibri" w:hAnsi="Times New Roman" w:cs="Times New Roman"/>
          <w:sz w:val="28"/>
          <w:szCs w:val="28"/>
        </w:rPr>
        <w:t>казать его обоснование;</w:t>
      </w:r>
    </w:p>
    <w:p w14:paraId="49AE182F" w14:textId="148C7484" w:rsidR="008225A5" w:rsidRPr="00A624BE" w:rsidRDefault="008225A5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настроит ведение учета по видам деятельности;</w:t>
      </w:r>
    </w:p>
    <w:p w14:paraId="5A5C40F3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сформировать первичные учетные документы по операциям, произвести проверку входящих документов;</w:t>
      </w:r>
    </w:p>
    <w:p w14:paraId="20349E32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исправить</w:t>
      </w:r>
      <w:r w:rsidRPr="00A624B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ошибки в первичных бухгалтерских документах;</w:t>
      </w:r>
    </w:p>
    <w:p w14:paraId="1DA59791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разработать номенклатуру учетных документов, сгруппировать по ней оформленные и проверенные документы.</w:t>
      </w:r>
    </w:p>
    <w:p w14:paraId="74B46060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произвести расчеты по оплате труда;</w:t>
      </w:r>
    </w:p>
    <w:p w14:paraId="46E246C0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распределить движение денежных средств с учетом сроков их оплаты;</w:t>
      </w:r>
    </w:p>
    <w:p w14:paraId="71C10199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отразить в учете операции по движению внеоборотных активов; денежных средств; материальных запасов, затрат и продукции; по расчетам по оплате труда и с контрагентами; по движению заемных средств; по учету доходов и расходов организации.</w:t>
      </w:r>
    </w:p>
    <w:p w14:paraId="14674039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сформировать стоимость активов;</w:t>
      </w:r>
    </w:p>
    <w:p w14:paraId="58178513" w14:textId="5B4788BC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составить калькуляцию фактической себестоимости оказанных услуг;</w:t>
      </w:r>
    </w:p>
    <w:p w14:paraId="195916DA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занести данные по сгруппированным документам в регистры бухгалтерского учета;</w:t>
      </w:r>
    </w:p>
    <w:p w14:paraId="09CE60B9" w14:textId="77777777" w:rsidR="00A624BE" w:rsidRPr="00A624BE" w:rsidRDefault="00A624BE" w:rsidP="00A624BE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определить финансовый результат деятельности организации;</w:t>
      </w:r>
    </w:p>
    <w:p w14:paraId="4D613D2C" w14:textId="57B91554" w:rsidR="00A624BE" w:rsidRPr="00B84E66" w:rsidRDefault="00B84E66" w:rsidP="00B84E66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E66">
        <w:rPr>
          <w:rFonts w:ascii="Times New Roman" w:eastAsia="Calibri" w:hAnsi="Times New Roman" w:cs="Times New Roman"/>
          <w:sz w:val="28"/>
          <w:szCs w:val="28"/>
        </w:rPr>
        <w:t xml:space="preserve">сформировать оборотно-сальдовую ведомость, учетные регистры по </w:t>
      </w:r>
      <w:r w:rsidRPr="00B84E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счетам 20, 26, 90 (по субсчетам и видам </w:t>
      </w:r>
      <w:r w:rsidR="008225A5" w:rsidRPr="00B84E66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B84E66">
        <w:rPr>
          <w:rFonts w:ascii="Times New Roman" w:eastAsia="Calibri" w:hAnsi="Times New Roman" w:cs="Times New Roman"/>
          <w:sz w:val="28"/>
          <w:szCs w:val="28"/>
        </w:rPr>
        <w:t>); анализ счета 90, 91 за отчетный период.</w:t>
      </w:r>
    </w:p>
    <w:p w14:paraId="2674A205" w14:textId="77777777" w:rsidR="00A624BE" w:rsidRPr="00A624BE" w:rsidRDefault="00A624BE" w:rsidP="00A624B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 w:rsidRPr="00A624BE">
        <w:rPr>
          <w:rFonts w:ascii="Times New Roman" w:eastAsia="Calibri" w:hAnsi="Times New Roman" w:cs="Times New Roman"/>
          <w:sz w:val="28"/>
          <w:szCs w:val="24"/>
          <w:lang w:eastAsia="ru-RU"/>
        </w:rPr>
        <w:t>задания</w:t>
      </w:r>
      <w:r w:rsidRPr="00A624BE">
        <w:rPr>
          <w:rFonts w:ascii="Times New Roman" w:eastAsia="Calibri" w:hAnsi="Times New Roman" w:cs="Times New Roman"/>
          <w:sz w:val="28"/>
          <w:szCs w:val="28"/>
        </w:rPr>
        <w:t xml:space="preserve"> предусматривает использование специализированной программы автоматизации бухгалтерского учета (например, 1С: Бухгалтерия 8.3), программного обеспечения для офисной работы, справочно-правовых систем.</w:t>
      </w:r>
    </w:p>
    <w:p w14:paraId="637855E8" w14:textId="77777777" w:rsidR="00A624BE" w:rsidRPr="00A624BE" w:rsidRDefault="00A624BE" w:rsidP="00A624BE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4990C" w14:textId="77777777" w:rsidR="00A624BE" w:rsidRPr="00A624BE" w:rsidRDefault="00A624BE" w:rsidP="00A624B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 xml:space="preserve">Конкурсанту </w:t>
      </w:r>
      <w:r w:rsidRPr="00A624BE">
        <w:rPr>
          <w:rFonts w:ascii="Times New Roman" w:eastAsia="Calibri" w:hAnsi="Times New Roman" w:cs="Times New Roman"/>
          <w:sz w:val="28"/>
          <w:szCs w:val="24"/>
          <w:lang w:eastAsia="ru-RU"/>
        </w:rPr>
        <w:t>необходимо</w:t>
      </w:r>
      <w:r w:rsidRPr="00A624BE">
        <w:rPr>
          <w:rFonts w:ascii="Times New Roman" w:eastAsia="Calibri" w:hAnsi="Times New Roman" w:cs="Times New Roman"/>
          <w:sz w:val="28"/>
          <w:szCs w:val="28"/>
        </w:rPr>
        <w:t xml:space="preserve"> создать и распечатать (сохранить в электронном виде):</w:t>
      </w:r>
    </w:p>
    <w:p w14:paraId="6BF02D2F" w14:textId="78BBDD2B" w:rsidR="00A624BE" w:rsidRPr="00A624BE" w:rsidRDefault="00A624BE" w:rsidP="00A624BE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учетную политику организации</w:t>
      </w:r>
      <w:r w:rsidR="00250D7A" w:rsidRPr="00250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0D7A" w:rsidRPr="00250D7A">
        <w:rPr>
          <w:rFonts w:ascii="Times New Roman" w:eastAsia="Calibri" w:hAnsi="Times New Roman" w:cs="Times New Roman"/>
          <w:sz w:val="28"/>
          <w:szCs w:val="28"/>
        </w:rPr>
        <w:t xml:space="preserve">для целей </w:t>
      </w:r>
      <w:r w:rsidR="00250D7A">
        <w:rPr>
          <w:rFonts w:ascii="Times New Roman" w:eastAsia="Calibri" w:hAnsi="Times New Roman" w:cs="Times New Roman"/>
          <w:sz w:val="28"/>
          <w:szCs w:val="28"/>
        </w:rPr>
        <w:t>бухгалтерского</w:t>
      </w:r>
      <w:r w:rsidR="00250D7A" w:rsidRPr="00250D7A">
        <w:rPr>
          <w:rFonts w:ascii="Times New Roman" w:eastAsia="Calibri" w:hAnsi="Times New Roman" w:cs="Times New Roman"/>
          <w:sz w:val="28"/>
          <w:szCs w:val="28"/>
        </w:rPr>
        <w:t xml:space="preserve"> учета</w:t>
      </w:r>
      <w:r w:rsidRPr="00A624BE">
        <w:rPr>
          <w:rFonts w:ascii="Times New Roman" w:eastAsia="Calibri" w:hAnsi="Times New Roman" w:cs="Times New Roman"/>
          <w:sz w:val="28"/>
          <w:szCs w:val="28"/>
        </w:rPr>
        <w:t>, включая необходимые приложения;</w:t>
      </w:r>
    </w:p>
    <w:p w14:paraId="78025D61" w14:textId="77777777" w:rsidR="00A624BE" w:rsidRPr="00A624BE" w:rsidRDefault="00A624BE" w:rsidP="00A624BE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BE">
        <w:rPr>
          <w:rFonts w:ascii="Times New Roman" w:eastAsia="Calibri" w:hAnsi="Times New Roman" w:cs="Times New Roman"/>
          <w:sz w:val="28"/>
          <w:szCs w:val="28"/>
        </w:rPr>
        <w:t>первичные и сводные учетные документы организации, включая все необходимые пояснения и расчеты, сгруппированные для их последующего хранения;</w:t>
      </w:r>
    </w:p>
    <w:p w14:paraId="3F090B49" w14:textId="77777777" w:rsidR="00B84E66" w:rsidRPr="00B84E66" w:rsidRDefault="00B84E66" w:rsidP="00B84E66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E66">
        <w:rPr>
          <w:rFonts w:ascii="Times New Roman" w:eastAsia="Calibri" w:hAnsi="Times New Roman" w:cs="Times New Roman"/>
          <w:sz w:val="28"/>
          <w:szCs w:val="28"/>
        </w:rPr>
        <w:t>учетные регистры за период, указанный в задании (ОСВ с учетом субсчетов, ОСВ по счетам 20, 26, 90 (по субсчетам и видам дейтельности); анализ счета 90, 91).</w:t>
      </w:r>
    </w:p>
    <w:p w14:paraId="666B859F" w14:textId="77777777" w:rsidR="00A624BE" w:rsidRPr="00BA50BC" w:rsidRDefault="00A624BE" w:rsidP="00A624B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D67CF" w14:textId="21EB8725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BA50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Ведение налогового учета</w:t>
      </w:r>
      <w:r w:rsidR="000A77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(инвариант)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604428C" w14:textId="36434D2E" w:rsidR="00BA50BC" w:rsidRPr="00E5753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520DED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C79C03E" w14:textId="77777777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5D0B3A9" w14:textId="77777777" w:rsidR="00BA50BC" w:rsidRPr="00BA50BC" w:rsidRDefault="00BA50BC" w:rsidP="00570BF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Конкурсанту </w:t>
      </w: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 профессиональный кейс, содержащий информацию о регистрационных данных организации, данные о персонале, первичная и сводная информация для расчета налоговых и других обязательных платежей. </w:t>
      </w:r>
    </w:p>
    <w:p w14:paraId="22892985" w14:textId="77777777" w:rsidR="00BA50BC" w:rsidRPr="00BA50BC" w:rsidRDefault="00BA50BC" w:rsidP="00570BF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необходимо, применяя программу автоматизации учета и офисные программы:</w:t>
      </w:r>
    </w:p>
    <w:p w14:paraId="030AA5F7" w14:textId="77777777" w:rsidR="00BA50BC" w:rsidRPr="00BA50BC" w:rsidRDefault="00BA50BC" w:rsidP="00570BF4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учетную политику организации для целей налогового учета с учетом особенностей ее деятельности. При выборе способа ведения учета необходимо дополнительно указать его обоснование;</w:t>
      </w:r>
    </w:p>
    <w:p w14:paraId="4A8DB59E" w14:textId="77777777" w:rsidR="00BA50BC" w:rsidRPr="00BA50BC" w:rsidRDefault="00BA50BC" w:rsidP="00570BF4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рассчитать налогооблагаемую базу, сумму налогов и сборов, взносы во внебюджетные фонды за налоговый период, используя регистры налогового учета*:</w:t>
      </w:r>
    </w:p>
    <w:p w14:paraId="397D53C8" w14:textId="77777777" w:rsidR="00BA50BC" w:rsidRPr="00BA50BC" w:rsidRDefault="00BA50BC" w:rsidP="00570BF4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рассчитать НДС,  </w:t>
      </w:r>
    </w:p>
    <w:p w14:paraId="1803E0EC" w14:textId="77777777" w:rsidR="00BA50BC" w:rsidRPr="00BA50BC" w:rsidRDefault="00BA50BC" w:rsidP="00570BF4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б) рассчитать НДФЛ,</w:t>
      </w:r>
    </w:p>
    <w:p w14:paraId="67D8793A" w14:textId="77777777" w:rsidR="00BA50BC" w:rsidRPr="00BA50BC" w:rsidRDefault="00BA50BC" w:rsidP="00570BF4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рассчитать налог на прибыль (ПБУ 18/02 применяется), </w:t>
      </w:r>
    </w:p>
    <w:p w14:paraId="76AF8873" w14:textId="77777777" w:rsidR="00BA50BC" w:rsidRPr="00BA50BC" w:rsidRDefault="00BA50BC" w:rsidP="00570BF4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г) рассчитать страховые взносы;</w:t>
      </w:r>
    </w:p>
    <w:p w14:paraId="47129093" w14:textId="77777777" w:rsidR="00BA50BC" w:rsidRPr="00BA50BC" w:rsidRDefault="00BA50BC" w:rsidP="00570BF4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оформить и сгруппировать первичные документы, сформировать и сгруппировать регистры налогового учета: </w:t>
      </w:r>
    </w:p>
    <w:p w14:paraId="2E41275A" w14:textId="77777777" w:rsidR="00BA50BC" w:rsidRPr="00BA50BC" w:rsidRDefault="00BA50BC" w:rsidP="00570BF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счета-фактуры,</w:t>
      </w:r>
    </w:p>
    <w:p w14:paraId="148F7A45" w14:textId="77777777" w:rsidR="00BA50BC" w:rsidRPr="00BA50BC" w:rsidRDefault="00BA50BC" w:rsidP="00570BF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книгу продаж и книгу  покупок, </w:t>
      </w:r>
    </w:p>
    <w:p w14:paraId="5F5262FC" w14:textId="77777777" w:rsidR="00BA50BC" w:rsidRPr="00BA50BC" w:rsidRDefault="00BA50BC" w:rsidP="00570BF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регистры по налогу на прибыль;</w:t>
      </w:r>
    </w:p>
    <w:p w14:paraId="76AC470B" w14:textId="77777777" w:rsidR="00BA50BC" w:rsidRPr="00BA50BC" w:rsidRDefault="00BA50BC" w:rsidP="00570BF4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уведомление об исчисленных суммах налогов, авансовых платежей по налогам, страховых взносов</w:t>
      </w:r>
    </w:p>
    <w:p w14:paraId="4A2E679B" w14:textId="77777777" w:rsidR="00BA50BC" w:rsidRPr="00BA50BC" w:rsidRDefault="00BA50BC" w:rsidP="00570BF4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оплату начисленных налогов и сборов в бюджет;</w:t>
      </w:r>
    </w:p>
    <w:p w14:paraId="714993D3" w14:textId="77777777" w:rsidR="00BA50BC" w:rsidRPr="00BA50BC" w:rsidRDefault="00BA50BC" w:rsidP="00570BF4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налоговую отчетность, расчеты и отчеты по страховым взносам за возможный налоговый период в задании:</w:t>
      </w:r>
    </w:p>
    <w:p w14:paraId="2EB902C9" w14:textId="77777777" w:rsidR="00BA50BC" w:rsidRPr="00BA50BC" w:rsidRDefault="00BA50BC" w:rsidP="00570BF4">
      <w:pPr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Расчет сумм налога на доходы физических лиц, исчисленный и удержанный налоговым агентом (Форма 6-НДФЛ),</w:t>
      </w:r>
    </w:p>
    <w:p w14:paraId="0AAC99B0" w14:textId="77777777" w:rsidR="00BA50BC" w:rsidRPr="00BA50BC" w:rsidRDefault="00BA50BC" w:rsidP="00570BF4">
      <w:pPr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Декларацию по налогу на прибыль,</w:t>
      </w:r>
    </w:p>
    <w:p w14:paraId="1A909F0D" w14:textId="77777777" w:rsidR="00BA50BC" w:rsidRDefault="00BA50BC" w:rsidP="00570BF4">
      <w:pPr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Декларацию по НДС,</w:t>
      </w:r>
    </w:p>
    <w:p w14:paraId="2DD415CF" w14:textId="0FDA5ACB" w:rsidR="005B29A2" w:rsidRPr="00BA50BC" w:rsidRDefault="005B29A2" w:rsidP="00570BF4">
      <w:pPr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по страховым взносам,</w:t>
      </w:r>
    </w:p>
    <w:p w14:paraId="39326C59" w14:textId="77777777" w:rsidR="00BA50BC" w:rsidRPr="00BA50BC" w:rsidRDefault="00BA50BC" w:rsidP="00570BF4">
      <w:pPr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Единую персонифицированную отчетность.</w:t>
      </w:r>
    </w:p>
    <w:p w14:paraId="5E7355C4" w14:textId="77777777" w:rsidR="00BA50BC" w:rsidRPr="00BA50BC" w:rsidRDefault="00BA50BC" w:rsidP="00570BF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* Расчет налогов и сборов, их оплату производить на основании данных заданий модулей А, Б.</w:t>
      </w:r>
    </w:p>
    <w:p w14:paraId="09AE2C54" w14:textId="36A03C6D" w:rsidR="00BA50BC" w:rsidRPr="00BA50BC" w:rsidRDefault="00BA50BC" w:rsidP="00570BF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задания предусматривает использование специализированной программы автоматизации бухгалтерского учета (например, 1С: Бухгалтерия 8</w:t>
      </w:r>
      <w:r w:rsidR="005B29A2">
        <w:rPr>
          <w:rFonts w:ascii="Times New Roman" w:eastAsia="Calibri" w:hAnsi="Times New Roman" w:cs="Times New Roman"/>
          <w:sz w:val="28"/>
          <w:szCs w:val="28"/>
          <w:lang w:eastAsia="ru-RU"/>
        </w:rPr>
        <w:t>.3</w:t>
      </w: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), программного обеспечения для офисной работы, справочно-правовых систем.</w:t>
      </w:r>
    </w:p>
    <w:p w14:paraId="79E74A1C" w14:textId="77777777" w:rsidR="00BA50BC" w:rsidRPr="00BA50BC" w:rsidRDefault="00BA50BC" w:rsidP="00570BF4">
      <w:pPr>
        <w:spacing w:after="0" w:line="36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130BD5" w14:textId="380F786B" w:rsidR="00BA50BC" w:rsidRPr="00BA50BC" w:rsidRDefault="00BA50BC" w:rsidP="00570B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итогам выполнения задания 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Конкурсанту </w:t>
      </w: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создать и распечатать (сохранить в электронном виде):</w:t>
      </w:r>
    </w:p>
    <w:p w14:paraId="2AB9C75E" w14:textId="601E7CDA" w:rsidR="00BA50BC" w:rsidRPr="00BA50BC" w:rsidRDefault="00BA50B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учетную политику для </w:t>
      </w:r>
      <w:r w:rsidR="005B29A2" w:rsidRPr="005B29A2">
        <w:rPr>
          <w:rFonts w:ascii="Times New Roman" w:eastAsia="Calibri" w:hAnsi="Times New Roman" w:cs="Times New Roman"/>
          <w:sz w:val="28"/>
          <w:szCs w:val="28"/>
        </w:rPr>
        <w:t>целей налогового учета</w:t>
      </w:r>
      <w:r w:rsidRPr="00BA50B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222496" w14:textId="77777777" w:rsidR="00BA50BC" w:rsidRPr="00BA50BC" w:rsidRDefault="00BA50B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сгруппированные документы на начисление и оплату налогов, страховых взносов;</w:t>
      </w:r>
    </w:p>
    <w:p w14:paraId="1CE25441" w14:textId="28E6BAFD" w:rsidR="00BA50BC" w:rsidRPr="00BA50BC" w:rsidRDefault="005B29A2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9A2">
        <w:rPr>
          <w:rFonts w:ascii="Times New Roman" w:eastAsia="Calibri" w:hAnsi="Times New Roman" w:cs="Times New Roman"/>
          <w:sz w:val="28"/>
          <w:szCs w:val="28"/>
        </w:rPr>
        <w:t>сгруппированные регистры налогового учета по налогу на прибыль, НДС</w:t>
      </w:r>
      <w:r w:rsidR="00BA50BC" w:rsidRPr="00BA50B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C6F936" w14:textId="77777777" w:rsidR="00BA50BC" w:rsidRPr="00BA50BC" w:rsidRDefault="00BA50B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налоговые декларации, расчеты и единую персонифицированную отчетность (допустимо не распечатывать отчеты, сдаваемые в электронном варианте).</w:t>
      </w:r>
    </w:p>
    <w:p w14:paraId="39535DEA" w14:textId="77777777" w:rsidR="00BA50BC" w:rsidRPr="00BA50BC" w:rsidRDefault="00BA50BC" w:rsidP="00BA50B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46B6EB" w14:textId="0E22E17A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BA50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Составление бухгалтерской (финансовой) отчетности и ее анализ</w:t>
      </w:r>
      <w:r w:rsidR="000A7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9E43835" w14:textId="61F350CD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520DED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="00E5753C"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520DED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134CECC6" w14:textId="77777777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B580C2C" w14:textId="77777777" w:rsidR="0026231C" w:rsidRPr="0026231C" w:rsidRDefault="0026231C" w:rsidP="0026231C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 профессиональный кейс, содержащий информацию, необходимую для формирования финансовой отчетности коммерческой организации и проведения финансового анализа. </w:t>
      </w:r>
    </w:p>
    <w:p w14:paraId="1BD7A7FD" w14:textId="45F22018" w:rsidR="0026231C" w:rsidRPr="0026231C" w:rsidRDefault="0026231C" w:rsidP="0026231C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необходимо:</w:t>
      </w:r>
    </w:p>
    <w:p w14:paraId="3B544AA2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провести реформацию баланса;</w:t>
      </w:r>
    </w:p>
    <w:p w14:paraId="2BC00BC2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сформировать бухгалтерскую (финансовую) отчетность за отчетный год в составе Бухгалтерского баланса, Отчета о финансовых результатах, Отчета о движении денежных средств);</w:t>
      </w:r>
    </w:p>
    <w:p w14:paraId="018FE254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провести анализ финансовой отчетности:</w:t>
      </w:r>
    </w:p>
    <w:p w14:paraId="07EA639F" w14:textId="77777777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бухгалтерского баланса (рассчитать структуру бухгалтерского баланса, определить абсолютное и относительное изменение показателей баланса, структурные сдвиги);</w:t>
      </w:r>
    </w:p>
    <w:p w14:paraId="45FC7998" w14:textId="0FE8A65B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отчета о финансовых результатах (определить абсолютное и относительное изменение показателей отчета, рассчитать структуру доходов и расходов, в соответствии с порядком формирования отчета о финансовых </w:t>
      </w: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результатах определить влияние показателей на чистую прибыль (убыток) отчетного периода);</w:t>
      </w:r>
    </w:p>
    <w:p w14:paraId="01D18F5B" w14:textId="77777777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бухгалтерского баланса (произвести группировку активов по степени ликвидности, пассивов по степени срочности погашения обязательств, рассчитать платежный излишек или недостаток по каждой группе, определить текущую и перспективную ликвидность, соблюдение минимального условия финансовой устойчивости);</w:t>
      </w:r>
    </w:p>
    <w:p w14:paraId="5F754AA8" w14:textId="77777777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</w:t>
      </w:r>
      <w:r w:rsidRPr="0026231C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</w:t>
      </w: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организации и динамику показателей (коэффициент абсолютной ликвидности, коэффициент критической ликвидности, коэффициент текущей ликвидности);</w:t>
      </w:r>
    </w:p>
    <w:p w14:paraId="31BDFC81" w14:textId="77777777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платежеспособности организации и динамику показателей (коэффициент общей платежеспособности, коэффициент маневренности функционирующего капитала, коэффициент обеспеченности собственными оборотными средствами, коэффициент восстановления или утраты платежеспособности);</w:t>
      </w:r>
    </w:p>
    <w:p w14:paraId="608CB9CD" w14:textId="77777777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финансовой устойчивости и динамику показателей (коэффициент финансовой независимости, коэффициент финансовой зависимости,  чистые активы, коэффициент соотношения заемных и собственных средств, коэффициент обеспеченности оборотных активов собственными оборотными средствами);  </w:t>
      </w:r>
    </w:p>
    <w:p w14:paraId="11C0DE9E" w14:textId="77777777" w:rsidR="0026231C" w:rsidRPr="0026231C" w:rsidRDefault="0026231C" w:rsidP="0026231C">
      <w:pPr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анализ рентабельности и динамику показателей (рентабельность продаж, окупаемость затрат, рентабельность активов, рентабельность внеоборотного капитала, рентабельность оборотного капитала, рентабельность основной деятельности, рентабельность операционной деятельности, рентабельность собственного капитала, рентабельность заемного капитала);</w:t>
      </w:r>
    </w:p>
    <w:p w14:paraId="2F291184" w14:textId="6D639A4C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провести анализ вероятности банкротства с обоснованием выбора оптимальной модели расчета</w:t>
      </w:r>
      <w:r w:rsidR="0020345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91BEAE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определить мероприятия для улучшения финансового положения и эффективности деятельности организации и обосновать предложения расчетами;</w:t>
      </w:r>
    </w:p>
    <w:p w14:paraId="534D0F39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lastRenderedPageBreak/>
        <w:t>сформировать отчет руководству организации по результатам проведенного анализа в виде презентации.</w:t>
      </w:r>
    </w:p>
    <w:p w14:paraId="4E4DDAC4" w14:textId="77777777" w:rsidR="0026231C" w:rsidRPr="0026231C" w:rsidRDefault="0026231C" w:rsidP="0026231C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Выполнение</w:t>
      </w:r>
      <w:r w:rsidRPr="0026231C">
        <w:rPr>
          <w:rFonts w:ascii="Times New Roman" w:eastAsia="Calibri" w:hAnsi="Times New Roman" w:cs="Times New Roman"/>
          <w:sz w:val="28"/>
          <w:szCs w:val="24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1BCE81F9" w14:textId="77777777" w:rsidR="0026231C" w:rsidRPr="0026231C" w:rsidRDefault="0026231C" w:rsidP="0026231C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5C5CEF18" w14:textId="77777777" w:rsidR="0026231C" w:rsidRPr="0026231C" w:rsidRDefault="0026231C" w:rsidP="0026231C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</w:t>
      </w:r>
      <w:r w:rsidRPr="0026231C">
        <w:rPr>
          <w:rFonts w:ascii="Times New Roman" w:eastAsia="Calibri" w:hAnsi="Times New Roman" w:cs="Times New Roman"/>
          <w:sz w:val="28"/>
          <w:szCs w:val="24"/>
        </w:rPr>
        <w:t xml:space="preserve"> необходимо создать и распечатать (сохранить в электронном виде):</w:t>
      </w:r>
    </w:p>
    <w:p w14:paraId="744D4A0D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результаты реформации баланса;</w:t>
      </w:r>
    </w:p>
    <w:p w14:paraId="541EC8DC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финансовую отчетность организации с необходимыми пояснениями;</w:t>
      </w:r>
    </w:p>
    <w:p w14:paraId="3C0C8EBE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расчеты по проведенному анализу финансовой отчетности (аналитические таблицы) с выводами по его результатам;</w:t>
      </w:r>
    </w:p>
    <w:p w14:paraId="48CCDB4D" w14:textId="77777777" w:rsidR="0026231C" w:rsidRPr="0020345B" w:rsidRDefault="002623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отчет по результатам проведенного анализа финансовой отчетности, оформленный в виде презентации.</w:t>
      </w:r>
    </w:p>
    <w:p w14:paraId="4D66F7BB" w14:textId="77777777" w:rsidR="00BA50BC" w:rsidRDefault="00BA50BC" w:rsidP="00BA50B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A9E4C" w14:textId="01E3FA7D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Pr="00BA5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BA50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Бюджетирование и управление денежными потоками</w:t>
      </w:r>
      <w:r w:rsidR="000A77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(вариатив)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DD78987" w14:textId="77777777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C3B132" w14:textId="77777777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B62FD15" w14:textId="77777777" w:rsidR="0011011C" w:rsidRPr="0011011C" w:rsidRDefault="0011011C" w:rsidP="0011011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1011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предложены профессиональные кейсы, содержащие информацию о деятельности коммерческой компании, необходимую для формирования бюджетов на предстоящий период. </w:t>
      </w:r>
    </w:p>
    <w:p w14:paraId="2F93E58C" w14:textId="74C611CE" w:rsidR="0011011C" w:rsidRPr="0011011C" w:rsidRDefault="0011011C" w:rsidP="0011011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1011C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необходимо:</w:t>
      </w:r>
    </w:p>
    <w:p w14:paraId="57D9FA4F" w14:textId="77777777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разработать систему бюджетов с учетом особенностей деятельности компании (бюджет доходов; бюджет производства; бюджет трудовых затрат; бюджет накладных расходов; налоговый бюджет; бюджет движения денежных средств; сводный бюджет доходов и расходов);</w:t>
      </w:r>
    </w:p>
    <w:p w14:paraId="6064895B" w14:textId="77777777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 xml:space="preserve">оценить состав себестоимости оказываемых услуг; </w:t>
      </w:r>
    </w:p>
    <w:p w14:paraId="0BF64E0A" w14:textId="77777777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разработать и обосновать решения по ценообразованию на оказываемые услуги;</w:t>
      </w:r>
    </w:p>
    <w:p w14:paraId="031C9148" w14:textId="77777777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определить и оценить эффективность способов финансирования деятельности. </w:t>
      </w:r>
    </w:p>
    <w:p w14:paraId="79FE1ABE" w14:textId="77777777" w:rsidR="0011011C" w:rsidRPr="0011011C" w:rsidRDefault="0011011C" w:rsidP="0011011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1011C">
        <w:rPr>
          <w:rFonts w:ascii="Times New Roman" w:eastAsia="Calibri" w:hAnsi="Times New Roman" w:cs="Times New Roman"/>
          <w:sz w:val="28"/>
          <w:szCs w:val="24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2454F5F2" w14:textId="77777777" w:rsidR="0011011C" w:rsidRPr="0011011C" w:rsidRDefault="0011011C" w:rsidP="0011011C">
      <w:pPr>
        <w:tabs>
          <w:tab w:val="left" w:pos="993"/>
        </w:tabs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6A6C0653" w14:textId="755E67AA" w:rsidR="0011011C" w:rsidRPr="0011011C" w:rsidRDefault="0011011C" w:rsidP="0011011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1011C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 создать и распечатать (сохранить в электронном виде):</w:t>
      </w:r>
    </w:p>
    <w:p w14:paraId="4D3B8DF2" w14:textId="77777777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 xml:space="preserve">Разработанную систему бюджетов для компании; </w:t>
      </w:r>
    </w:p>
    <w:p w14:paraId="00C1570F" w14:textId="59D898E5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 xml:space="preserve">Отчет по обоснованию цен на оказываемые услуги; </w:t>
      </w:r>
    </w:p>
    <w:p w14:paraId="14357B45" w14:textId="6535611F" w:rsidR="0011011C" w:rsidRPr="0020345B" w:rsidRDefault="0011011C" w:rsidP="0020345B">
      <w:pPr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45B">
        <w:rPr>
          <w:rFonts w:ascii="Times New Roman" w:eastAsia="Calibri" w:hAnsi="Times New Roman" w:cs="Times New Roman"/>
          <w:sz w:val="28"/>
          <w:szCs w:val="28"/>
        </w:rPr>
        <w:t>Отчет по оценке эффективности финансирования деятельности.</w:t>
      </w:r>
    </w:p>
    <w:p w14:paraId="59D2D83D" w14:textId="77777777" w:rsidR="00BA50BC" w:rsidRPr="00BA50BC" w:rsidRDefault="00BA50BC" w:rsidP="00BA50B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BE8297" w14:textId="77161869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Д.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BA50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Налоговое консультирование</w:t>
      </w:r>
      <w:r w:rsidR="000A77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(варатив)</w:t>
      </w:r>
      <w:r w:rsidRPr="00BA5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FA499F3" w14:textId="76AEED70" w:rsidR="00BA50BC" w:rsidRPr="005C5512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A646E5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26231C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  <w:r w:rsidRPr="002623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8B2B082" w14:textId="77777777" w:rsidR="00BA50BC" w:rsidRPr="00BA50BC" w:rsidRDefault="00BA50BC" w:rsidP="00570BF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A5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EF8AC6F" w14:textId="77777777" w:rsidR="0026231C" w:rsidRPr="0026231C" w:rsidRDefault="0026231C" w:rsidP="0026231C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В рамках модуля Конкурсанту предложены профессиональные кейсы, содержащие информацию, необходимую для решения налоговых ситуаций.</w:t>
      </w:r>
    </w:p>
    <w:p w14:paraId="54FC1323" w14:textId="6DA60AE9" w:rsidR="0026231C" w:rsidRPr="0026231C" w:rsidRDefault="0026231C" w:rsidP="0026231C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Конкурсанту необходимо:</w:t>
      </w:r>
    </w:p>
    <w:p w14:paraId="65770672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 xml:space="preserve">оценить деятельность налогоплательщика, проанализировать правильность выбора системы налогообложения, рассчитанной налоговой базы, суммы уплаченных налогов и сборов, примененных налоговых льгот; </w:t>
      </w:r>
    </w:p>
    <w:p w14:paraId="223F305D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определить налоговую нагрузку и оптимальную систему налогообложения организации, направления с обоснованием оптимизации налогов и сборов в целом по организации;</w:t>
      </w:r>
    </w:p>
    <w:p w14:paraId="6D2F174E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составить отчет руководству организации по оптимизации налогов, сборов и обязательных взносов в бюджет;</w:t>
      </w:r>
    </w:p>
    <w:p w14:paraId="429DFC07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определить возможность нарушения налогового законодательства, налоговые последствия для организации, оценить налоговые риски организации, разработать методы их оптимизации;</w:t>
      </w:r>
    </w:p>
    <w:p w14:paraId="41DA7993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представить ответ-обоснование позиции налогоплательщика при получении документов ИФНС;</w:t>
      </w:r>
    </w:p>
    <w:p w14:paraId="7576DEDB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lastRenderedPageBreak/>
        <w:t>представить рекомендации руководству организации по устранению негативных последствий, связанных с нарушениями налогового законодательства.</w:t>
      </w:r>
    </w:p>
    <w:p w14:paraId="6C506B52" w14:textId="77777777" w:rsidR="0026231C" w:rsidRPr="0026231C" w:rsidRDefault="0026231C" w:rsidP="0026231C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 xml:space="preserve">Выполнение задания предусматривает использование программного обеспечения для офисной работы, справочно-правовых систем. При выполнении задания возможно использование сервисов сайта </w:t>
      </w:r>
      <w:r w:rsidRPr="0026231C">
        <w:rPr>
          <w:rFonts w:ascii="Times New Roman" w:eastAsia="Calibri" w:hAnsi="Times New Roman" w:cs="Times New Roman"/>
          <w:sz w:val="28"/>
          <w:szCs w:val="24"/>
          <w:lang w:val="en-US"/>
        </w:rPr>
        <w:t>nalog</w:t>
      </w:r>
      <w:r w:rsidRPr="0026231C">
        <w:rPr>
          <w:rFonts w:ascii="Times New Roman" w:eastAsia="Calibri" w:hAnsi="Times New Roman" w:cs="Times New Roman"/>
          <w:sz w:val="28"/>
          <w:szCs w:val="24"/>
        </w:rPr>
        <w:t>.</w:t>
      </w:r>
      <w:r w:rsidRPr="0026231C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r w:rsidRPr="0026231C">
        <w:rPr>
          <w:rFonts w:ascii="Times New Roman" w:eastAsia="Calibri" w:hAnsi="Times New Roman" w:cs="Times New Roman"/>
          <w:sz w:val="28"/>
          <w:szCs w:val="24"/>
        </w:rPr>
        <w:t>, zachestnyibiznes.ru.</w:t>
      </w:r>
    </w:p>
    <w:p w14:paraId="64321B0E" w14:textId="77777777" w:rsidR="0026231C" w:rsidRPr="0026231C" w:rsidRDefault="0026231C" w:rsidP="0026231C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144C212" w14:textId="77777777" w:rsidR="0026231C" w:rsidRPr="0026231C" w:rsidRDefault="0026231C" w:rsidP="0026231C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Конкурсанту необходимо создать и распечатать (сохранить в электронном виде):</w:t>
      </w:r>
    </w:p>
    <w:p w14:paraId="75D63282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отчет по результатам предложенных мероприятий по выбору системы налогообложения и оптимизации налогообложения в организации.</w:t>
      </w:r>
    </w:p>
    <w:p w14:paraId="355C9CBD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ответ на запрос налоговой инспекции о предоставлении пояснений по факту выявленных нарушений;</w:t>
      </w:r>
    </w:p>
    <w:p w14:paraId="3CF5CDB6" w14:textId="77777777" w:rsidR="0026231C" w:rsidRPr="0026231C" w:rsidRDefault="0026231C" w:rsidP="0026231C">
      <w:pPr>
        <w:numPr>
          <w:ilvl w:val="0"/>
          <w:numId w:val="32"/>
        </w:numPr>
        <w:tabs>
          <w:tab w:val="left" w:pos="567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6231C">
        <w:rPr>
          <w:rFonts w:ascii="Times New Roman" w:eastAsia="Calibri" w:hAnsi="Times New Roman" w:cs="Times New Roman"/>
          <w:sz w:val="28"/>
          <w:szCs w:val="24"/>
        </w:rPr>
        <w:t>отчет руководству по решению налоговой ситуации.</w:t>
      </w:r>
    </w:p>
    <w:p w14:paraId="1259F7FF" w14:textId="77777777" w:rsidR="00BA50BC" w:rsidRPr="00BA50BC" w:rsidRDefault="00BA50BC" w:rsidP="00BA50BC">
      <w:pPr>
        <w:spacing w:after="0"/>
        <w:contextualSpacing/>
        <w:mirrorIndents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208BA8B6" w14:textId="77777777" w:rsidR="00BA50BC" w:rsidRPr="00A646E5" w:rsidRDefault="00BA50BC" w:rsidP="00A646E5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78885643"/>
      <w:bookmarkStart w:id="22" w:name="_Toc126269914"/>
      <w:bookmarkStart w:id="23" w:name="_Toc135498029"/>
      <w:r w:rsidRPr="00A646E5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 w:rsidRPr="00A646E5">
        <w:rPr>
          <w:rFonts w:ascii="Times New Roman" w:hAnsi="Times New Roman"/>
          <w:color w:val="auto"/>
          <w:sz w:val="28"/>
          <w:szCs w:val="28"/>
          <w:vertAlign w:val="superscript"/>
        </w:rPr>
        <w:footnoteReference w:id="2"/>
      </w:r>
      <w:bookmarkEnd w:id="21"/>
      <w:bookmarkEnd w:id="22"/>
      <w:bookmarkEnd w:id="23"/>
    </w:p>
    <w:p w14:paraId="28D41500" w14:textId="77777777" w:rsidR="00BA50BC" w:rsidRPr="00BA50BC" w:rsidRDefault="00BA50BC" w:rsidP="00570B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конкурса. Чемпионат по компетенции «Бухгалтерский учет» необходимо проводить только в одну смену.</w:t>
      </w:r>
    </w:p>
    <w:p w14:paraId="16E3A7C6" w14:textId="3241B472" w:rsidR="00E5753C" w:rsidRDefault="00BA50BC" w:rsidP="00E5753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</w:t>
      </w:r>
      <w:r w:rsidR="00A646E5" w:rsidRPr="00BA50BC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модуля </w:t>
      </w:r>
      <w:r w:rsidRPr="00BA50BC">
        <w:rPr>
          <w:rFonts w:ascii="Times New Roman" w:eastAsia="Times New Roman" w:hAnsi="Times New Roman" w:cs="Times New Roman"/>
          <w:sz w:val="28"/>
          <w:szCs w:val="28"/>
        </w:rPr>
        <w:t>должны оставаться на рабочем столе конкурсанта.</w:t>
      </w:r>
      <w:r w:rsidR="00E57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экспертам запрещается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с конкурсной площадки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бумажные или цифровые копии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относящихся к конкурсному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заданию (</w:t>
      </w:r>
      <w:r w:rsidR="00AB05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критерии оценки,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оценки, протоколы, инструкции) до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завершения соревнований либо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разрешения Г</w:t>
      </w:r>
      <w:r w:rsidR="00E5581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эксперта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3C9C9" w14:textId="573F4DCF" w:rsidR="00C164F0" w:rsidRPr="00BA50BC" w:rsidRDefault="00C164F0" w:rsidP="00C164F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выполненных конкурсных заданий работы конкурсантов кодируются. После того, как конкурсанты завершили модуль, </w:t>
      </w:r>
      <w:r w:rsidR="00B00461"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собранные 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выполненные конкурсные задания Главный эксперт кодиру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задания секретным номером. При этом в оценочных группах не будет возможности сопоставить работу с конкретным Конкурсантом. С рабочих мест Конкурсантов и выполненных конкурсных заданий должны быть убраны любые обозначения принадлежности работ участникам. </w:t>
      </w:r>
    </w:p>
    <w:p w14:paraId="35C7A85D" w14:textId="4B65B0C1" w:rsidR="00BA50BC" w:rsidRPr="00BA50BC" w:rsidRDefault="00BA50BC" w:rsidP="00570BF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ТОЛЬКО результат выполнения задания (распечатанные и/или сохраненные документы, файлы) или установленный факт (нарушение правил). Оценка конкурсных заданий осуществляется по итогам каждого модуля</w:t>
      </w:r>
      <w:r w:rsidR="00B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 экспертных групп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0F6FE6" w14:textId="052896AB" w:rsidR="0039211F" w:rsidRDefault="0039211F" w:rsidP="0039211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оборудования,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дополнительное время </w:t>
      </w:r>
      <w:r w:rsidR="00E55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</w:t>
      </w:r>
      <w:r w:rsidR="00E55813"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предоставлено, если Технический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сможет доказать,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сбой является ошибкой, неумением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результатом халатности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3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63EDAB" w14:textId="00434B4B" w:rsidR="00C164F0" w:rsidRDefault="00C164F0" w:rsidP="00C164F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нерегламентированного использования сети Интернет</w:t>
      </w:r>
      <w:r w:rsidR="00B004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461"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запрещенных средств</w:t>
      </w:r>
      <w:r w:rsidR="00B00461"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77A0"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связи</w:t>
      </w:r>
      <w:r w:rsidR="000A77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A77A0"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любых</w:t>
      </w:r>
      <w:r w:rsidR="00B00461"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видов памяти (накопителей), в том числе и любых устройств с USB-разъемом, </w:t>
      </w:r>
      <w:r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получения конкурсантами каким-либо способом нерегламентированной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которая может способствовать получению преимущества,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</w:t>
      </w:r>
      <w:r w:rsidR="00B00461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ьтаты за соответствующий модуль</w:t>
      </w:r>
      <w:r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(и) могут быть обнулены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4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порядке.</w:t>
      </w:r>
    </w:p>
    <w:p w14:paraId="01FDDB7F" w14:textId="22E7E530" w:rsidR="00BA50BC" w:rsidRDefault="00BA50BC" w:rsidP="00C164F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нарушивший правила поведения/правила ОТ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участник удаляется с площадки, а Главный эксперт вносит соответствующую запись в протоколе.</w:t>
      </w:r>
    </w:p>
    <w:p w14:paraId="693C3716" w14:textId="5B69B56C" w:rsidR="00E5753C" w:rsidRPr="00BA50BC" w:rsidRDefault="00B00461" w:rsidP="00B004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и эксперты-наставники не могут общаться до окончания процедуры оценивания, в том числе в перерыве на обед. Каждое зафиксированное общение эксперта-наставника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конкурсантом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отмечено и повлияет на 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оценивания.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контакта эксперта-наставника, представителя того же учебного заведения 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 своим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конкурсантом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выполнения конкурсного задания, у конкурсанта обнуляются баллы за </w:t>
      </w:r>
      <w:r w:rsidRPr="00B00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модуль</w:t>
      </w:r>
      <w:r w:rsidR="00E5753C" w:rsidRPr="00E575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выполнения которого, был зафиксирован факт контакта.</w:t>
      </w:r>
    </w:p>
    <w:p w14:paraId="357CADF2" w14:textId="5E571123" w:rsidR="00A9189F" w:rsidRPr="00A9189F" w:rsidRDefault="00BA50BC" w:rsidP="002B501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некорректного или грубого поведения 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попыток вмешиваться в работу оценивающей группы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намеренное обращение к 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отвлечение 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задания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оскорбление 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экспертов во время проведения чемпионата, игнорирование указаний главного эксперта 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нарушени</w:t>
      </w:r>
      <w:r w:rsidR="003E20A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этики, такое нарушение фиксируется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составляется протокол с решением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нарушение – предупреждение;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второе нарушение – 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удаление </w:t>
      </w:r>
      <w:r w:rsidR="00A9189F" w:rsidRP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эксперта с площадки вплоть до конца проведения соревнований</w:t>
      </w:r>
      <w:r w:rsidR="00A918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E7BC0" w14:textId="77777777" w:rsidR="00BA50BC" w:rsidRPr="00A646E5" w:rsidRDefault="00BA50BC" w:rsidP="00A646E5">
      <w:pPr>
        <w:pStyle w:val="-2"/>
        <w:jc w:val="center"/>
        <w:rPr>
          <w:rFonts w:ascii="Times New Roman" w:hAnsi="Times New Roman"/>
          <w:color w:val="000000"/>
          <w:sz w:val="24"/>
        </w:rPr>
      </w:pPr>
      <w:bookmarkStart w:id="24" w:name="_Toc78885659"/>
      <w:bookmarkStart w:id="25" w:name="_Toc126269915"/>
      <w:bookmarkStart w:id="26" w:name="_Toc135498030"/>
      <w:r w:rsidRPr="00A646E5">
        <w:rPr>
          <w:rFonts w:ascii="Times New Roman" w:hAnsi="Times New Roman"/>
          <w:color w:val="000000"/>
          <w:sz w:val="24"/>
        </w:rPr>
        <w:t xml:space="preserve">2.1. </w:t>
      </w:r>
      <w:bookmarkEnd w:id="24"/>
      <w:r w:rsidRPr="00A646E5">
        <w:rPr>
          <w:rFonts w:ascii="Times New Roman" w:hAnsi="Times New Roman"/>
          <w:color w:val="000000"/>
          <w:sz w:val="24"/>
        </w:rPr>
        <w:t>Личный инструмент конкурсанта</w:t>
      </w:r>
      <w:bookmarkEnd w:id="25"/>
      <w:bookmarkEnd w:id="26"/>
    </w:p>
    <w:p w14:paraId="60BE4C49" w14:textId="7A00326D" w:rsidR="00BA50BC" w:rsidRPr="00BA50BC" w:rsidRDefault="00A646E5" w:rsidP="00BA50B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</w:t>
      </w:r>
    </w:p>
    <w:p w14:paraId="21F8CC54" w14:textId="77777777" w:rsidR="00BA50BC" w:rsidRPr="00A646E5" w:rsidRDefault="00BA50BC" w:rsidP="00A646E5">
      <w:pPr>
        <w:pStyle w:val="-2"/>
        <w:jc w:val="center"/>
        <w:rPr>
          <w:rFonts w:ascii="Times New Roman" w:hAnsi="Times New Roman"/>
          <w:color w:val="000000"/>
          <w:sz w:val="24"/>
        </w:rPr>
      </w:pPr>
      <w:bookmarkStart w:id="27" w:name="_Toc78885660"/>
      <w:bookmarkStart w:id="28" w:name="_Toc126269916"/>
      <w:bookmarkStart w:id="29" w:name="_Toc135498031"/>
      <w:r w:rsidRPr="00A646E5">
        <w:rPr>
          <w:rFonts w:ascii="Times New Roman" w:hAnsi="Times New Roman"/>
          <w:color w:val="000000"/>
          <w:sz w:val="24"/>
        </w:rPr>
        <w:t>2.2. Материалы, оборудование и инструменты, запрещенные на площадке</w:t>
      </w:r>
      <w:bookmarkEnd w:id="27"/>
      <w:bookmarkEnd w:id="28"/>
      <w:bookmarkEnd w:id="29"/>
    </w:p>
    <w:p w14:paraId="60C37FEA" w14:textId="151BD63D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устройства (планшет, смартфон, мобильный телефон, гарнитура, электронные наручные часы, </w:t>
      </w:r>
      <w:r w:rsidR="00C164F0">
        <w:rPr>
          <w:rFonts w:ascii="Times New Roman" w:eastAsia="Times New Roman" w:hAnsi="Times New Roman" w:cs="Times New Roman"/>
          <w:sz w:val="28"/>
          <w:szCs w:val="28"/>
        </w:rPr>
        <w:t xml:space="preserve">смарт-часы, </w:t>
      </w:r>
      <w:r w:rsidRPr="00BA50BC">
        <w:rPr>
          <w:rFonts w:ascii="Times New Roman" w:eastAsia="Times New Roman" w:hAnsi="Times New Roman" w:cs="Times New Roman"/>
          <w:sz w:val="28"/>
          <w:szCs w:val="28"/>
        </w:rPr>
        <w:t>Bluetooth-устройства и т.п.);</w:t>
      </w:r>
    </w:p>
    <w:p w14:paraId="470F2633" w14:textId="77777777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>Дополнительные жесткие диски, другие накопители информации;</w:t>
      </w:r>
    </w:p>
    <w:p w14:paraId="67F69915" w14:textId="13F4E930" w:rsidR="00C164F0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14:paraId="35A2A09E" w14:textId="3A358B29" w:rsidR="00C164F0" w:rsidRDefault="00C164F0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Фото/видео устройства;</w:t>
      </w:r>
    </w:p>
    <w:p w14:paraId="4F2B0FB8" w14:textId="77777777" w:rsidR="00BA50BC" w:rsidRPr="00BA50BC" w:rsidRDefault="00BA50BC" w:rsidP="00570B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0BC"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14:paraId="4206DABD" w14:textId="77777777" w:rsidR="00BA50BC" w:rsidRPr="00BA50BC" w:rsidRDefault="00BA50BC" w:rsidP="00BA50B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256C9" w14:textId="77777777" w:rsidR="00BA50BC" w:rsidRPr="00BA50BC" w:rsidRDefault="00BA50BC" w:rsidP="00BA50BC">
      <w:pPr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30" w:name="_Toc126269917"/>
      <w:bookmarkStart w:id="31" w:name="_Toc135498032"/>
      <w:r w:rsidRPr="00BA50B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3. Приложения</w:t>
      </w:r>
      <w:bookmarkEnd w:id="30"/>
      <w:bookmarkEnd w:id="31"/>
    </w:p>
    <w:p w14:paraId="20C8137F" w14:textId="033C573C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570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A646E5">
        <w:rPr>
          <w:rFonts w:ascii="Times New Roman" w:eastAsia="Calibri" w:hAnsi="Times New Roman" w:cs="Times New Roman"/>
          <w:sz w:val="28"/>
          <w:szCs w:val="28"/>
        </w:rPr>
        <w:t>Описание компетенции</w:t>
      </w:r>
      <w:r w:rsidR="00A646E5" w:rsidRPr="00BA50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A0A4A3" w14:textId="6C832F27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570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646E5" w:rsidRPr="00BA50BC">
        <w:rPr>
          <w:rFonts w:ascii="Times New Roman" w:eastAsia="Calibri" w:hAnsi="Times New Roman" w:cs="Times New Roman"/>
          <w:sz w:val="28"/>
          <w:szCs w:val="28"/>
        </w:rPr>
        <w:t xml:space="preserve">Инструкция по заполнению матрицы конкурсного задания </w:t>
      </w:r>
    </w:p>
    <w:p w14:paraId="57924E31" w14:textId="2406D1D7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570BF4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6E5" w:rsidRPr="00BA50BC">
        <w:rPr>
          <w:rFonts w:ascii="Times New Roman" w:eastAsia="Calibri" w:hAnsi="Times New Roman" w:cs="Times New Roman"/>
          <w:sz w:val="28"/>
          <w:szCs w:val="28"/>
        </w:rPr>
        <w:t xml:space="preserve">Матрица конкурсного задания </w:t>
      </w:r>
    </w:p>
    <w:p w14:paraId="67FCF2D6" w14:textId="749B77C8" w:rsidR="00BA50BC" w:rsidRPr="00BA50BC" w:rsidRDefault="00BA50BC" w:rsidP="00BA50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570BF4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 Инструкция по охране труда по компетенции «Бухгалтерский учет».</w:t>
      </w:r>
    </w:p>
    <w:p w14:paraId="1F6A2793" w14:textId="7119EDFC" w:rsidR="002B3DBB" w:rsidRDefault="00BA50BC" w:rsidP="003A18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570BF4">
        <w:rPr>
          <w:rFonts w:ascii="Times New Roman" w:eastAsia="Calibri" w:hAnsi="Times New Roman" w:cs="Times New Roman"/>
          <w:sz w:val="28"/>
          <w:szCs w:val="28"/>
        </w:rPr>
        <w:t>5</w:t>
      </w:r>
      <w:r w:rsidRPr="00BA50BC">
        <w:rPr>
          <w:rFonts w:ascii="Times New Roman" w:eastAsia="Calibri" w:hAnsi="Times New Roman" w:cs="Times New Roman"/>
          <w:sz w:val="28"/>
          <w:szCs w:val="28"/>
        </w:rPr>
        <w:t xml:space="preserve"> Исходные данные </w:t>
      </w:r>
      <w:r w:rsidR="00643ED3" w:rsidRPr="00643ED3">
        <w:rPr>
          <w:rFonts w:ascii="Times New Roman" w:eastAsia="Calibri" w:hAnsi="Times New Roman" w:cs="Times New Roman"/>
          <w:sz w:val="28"/>
          <w:szCs w:val="28"/>
        </w:rPr>
        <w:t>и шаблоны документов</w:t>
      </w:r>
      <w:r w:rsidR="00643ED3" w:rsidRPr="001704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A50BC">
        <w:rPr>
          <w:rFonts w:ascii="Times New Roman" w:eastAsia="Calibri" w:hAnsi="Times New Roman" w:cs="Times New Roman"/>
          <w:sz w:val="28"/>
          <w:szCs w:val="28"/>
        </w:rPr>
        <w:t>для конкурсного задания.</w:t>
      </w:r>
    </w:p>
    <w:sectPr w:rsidR="002B3DBB" w:rsidSect="00F86B6E">
      <w:headerReference w:type="default" r:id="rId19"/>
      <w:footerReference w:type="default" r:id="rId20"/>
      <w:pgSz w:w="11906" w:h="16838"/>
      <w:pgMar w:top="1134" w:right="849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9F5A" w14:textId="77777777" w:rsidR="00FB4548" w:rsidRDefault="00FB4548" w:rsidP="00970F49">
      <w:pPr>
        <w:spacing w:after="0" w:line="240" w:lineRule="auto"/>
      </w:pPr>
      <w:r>
        <w:separator/>
      </w:r>
    </w:p>
  </w:endnote>
  <w:endnote w:type="continuationSeparator" w:id="0">
    <w:p w14:paraId="2E90DB31" w14:textId="77777777" w:rsidR="00FB4548" w:rsidRDefault="00FB454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91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836779" w14:textId="525FB870" w:rsidR="00250D7A" w:rsidRPr="00C838A9" w:rsidRDefault="00250D7A" w:rsidP="00F86B6E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C838A9">
          <w:rPr>
            <w:rFonts w:ascii="Times New Roman" w:hAnsi="Times New Roman" w:cs="Times New Roman"/>
            <w:sz w:val="24"/>
          </w:rPr>
          <w:fldChar w:fldCharType="begin"/>
        </w:r>
        <w:r w:rsidRPr="00C838A9">
          <w:rPr>
            <w:rFonts w:ascii="Times New Roman" w:hAnsi="Times New Roman" w:cs="Times New Roman"/>
            <w:sz w:val="24"/>
          </w:rPr>
          <w:instrText>PAGE   \* MERGEFORMAT</w:instrText>
        </w:r>
        <w:r w:rsidRPr="00C838A9">
          <w:rPr>
            <w:rFonts w:ascii="Times New Roman" w:hAnsi="Times New Roman" w:cs="Times New Roman"/>
            <w:sz w:val="24"/>
          </w:rPr>
          <w:fldChar w:fldCharType="separate"/>
        </w:r>
        <w:r w:rsidR="008225A5">
          <w:rPr>
            <w:rFonts w:ascii="Times New Roman" w:hAnsi="Times New Roman" w:cs="Times New Roman"/>
            <w:noProof/>
            <w:sz w:val="24"/>
          </w:rPr>
          <w:t>13</w:t>
        </w:r>
        <w:r w:rsidRPr="00C838A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BBEF" w14:textId="77777777" w:rsidR="00FB4548" w:rsidRDefault="00FB4548" w:rsidP="00970F49">
      <w:pPr>
        <w:spacing w:after="0" w:line="240" w:lineRule="auto"/>
      </w:pPr>
      <w:r>
        <w:separator/>
      </w:r>
    </w:p>
  </w:footnote>
  <w:footnote w:type="continuationSeparator" w:id="0">
    <w:p w14:paraId="5587A872" w14:textId="77777777" w:rsidR="00FB4548" w:rsidRDefault="00FB4548" w:rsidP="00970F49">
      <w:pPr>
        <w:spacing w:after="0" w:line="240" w:lineRule="auto"/>
      </w:pPr>
      <w:r>
        <w:continuationSeparator/>
      </w:r>
    </w:p>
  </w:footnote>
  <w:footnote w:id="1">
    <w:p w14:paraId="4EB28034" w14:textId="77777777" w:rsidR="00250D7A" w:rsidRDefault="00250D7A" w:rsidP="00BA5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1863BDC0" w14:textId="77777777" w:rsidR="00250D7A" w:rsidRDefault="00250D7A" w:rsidP="00BA5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3435" w14:textId="77777777" w:rsidR="00250D7A" w:rsidRPr="00B45AA4" w:rsidRDefault="00250D7A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274702"/>
    <w:multiLevelType w:val="hybridMultilevel"/>
    <w:tmpl w:val="A5D0ADB0"/>
    <w:lvl w:ilvl="0" w:tplc="10864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B44E1C"/>
    <w:multiLevelType w:val="hybridMultilevel"/>
    <w:tmpl w:val="B4D86A38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1807"/>
    <w:multiLevelType w:val="hybridMultilevel"/>
    <w:tmpl w:val="078A83BA"/>
    <w:lvl w:ilvl="0" w:tplc="9CC47D80">
      <w:start w:val="1"/>
      <w:numFmt w:val="russianLow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69667E1"/>
    <w:multiLevelType w:val="hybridMultilevel"/>
    <w:tmpl w:val="E6E09D80"/>
    <w:lvl w:ilvl="0" w:tplc="E2A8FE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374BD"/>
    <w:multiLevelType w:val="hybridMultilevel"/>
    <w:tmpl w:val="79E0F2FA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2" w15:restartNumberingAfterBreak="0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853B01"/>
    <w:multiLevelType w:val="hybridMultilevel"/>
    <w:tmpl w:val="AEE4FA56"/>
    <w:lvl w:ilvl="0" w:tplc="9CC47D80">
      <w:start w:val="1"/>
      <w:numFmt w:val="russianLower"/>
      <w:lvlText w:val="%1)"/>
      <w:lvlJc w:val="left"/>
      <w:pPr>
        <w:ind w:left="683" w:hanging="360"/>
      </w:pPr>
      <w:rPr>
        <w:w w:val="100"/>
        <w:sz w:val="24"/>
        <w:szCs w:val="24"/>
        <w:lang w:val="ru-RU" w:eastAsia="en-US" w:bidi="ar-SA"/>
      </w:rPr>
    </w:lvl>
    <w:lvl w:ilvl="1" w:tplc="E79E4E76">
      <w:numFmt w:val="bullet"/>
      <w:lvlText w:val="•"/>
      <w:lvlJc w:val="left"/>
      <w:pPr>
        <w:ind w:left="680" w:hanging="360"/>
      </w:pPr>
      <w:rPr>
        <w:lang w:val="ru-RU" w:eastAsia="en-US" w:bidi="ar-SA"/>
      </w:rPr>
    </w:lvl>
    <w:lvl w:ilvl="2" w:tplc="81D40D30">
      <w:numFmt w:val="bullet"/>
      <w:lvlText w:val="•"/>
      <w:lvlJc w:val="left"/>
      <w:pPr>
        <w:ind w:left="1683" w:hanging="360"/>
      </w:pPr>
      <w:rPr>
        <w:lang w:val="ru-RU" w:eastAsia="en-US" w:bidi="ar-SA"/>
      </w:rPr>
    </w:lvl>
    <w:lvl w:ilvl="3" w:tplc="64EC48C0">
      <w:numFmt w:val="bullet"/>
      <w:lvlText w:val="•"/>
      <w:lvlJc w:val="left"/>
      <w:pPr>
        <w:ind w:left="2686" w:hanging="360"/>
      </w:pPr>
      <w:rPr>
        <w:lang w:val="ru-RU" w:eastAsia="en-US" w:bidi="ar-SA"/>
      </w:rPr>
    </w:lvl>
    <w:lvl w:ilvl="4" w:tplc="60E4856C">
      <w:numFmt w:val="bullet"/>
      <w:lvlText w:val="•"/>
      <w:lvlJc w:val="left"/>
      <w:pPr>
        <w:ind w:left="3689" w:hanging="360"/>
      </w:pPr>
      <w:rPr>
        <w:lang w:val="ru-RU" w:eastAsia="en-US" w:bidi="ar-SA"/>
      </w:rPr>
    </w:lvl>
    <w:lvl w:ilvl="5" w:tplc="E5F2009E">
      <w:numFmt w:val="bullet"/>
      <w:lvlText w:val="•"/>
      <w:lvlJc w:val="left"/>
      <w:pPr>
        <w:ind w:left="4692" w:hanging="360"/>
      </w:pPr>
      <w:rPr>
        <w:lang w:val="ru-RU" w:eastAsia="en-US" w:bidi="ar-SA"/>
      </w:rPr>
    </w:lvl>
    <w:lvl w:ilvl="6" w:tplc="2E0CD1D4">
      <w:numFmt w:val="bullet"/>
      <w:lvlText w:val="•"/>
      <w:lvlJc w:val="left"/>
      <w:pPr>
        <w:ind w:left="5695" w:hanging="360"/>
      </w:pPr>
      <w:rPr>
        <w:lang w:val="ru-RU" w:eastAsia="en-US" w:bidi="ar-SA"/>
      </w:rPr>
    </w:lvl>
    <w:lvl w:ilvl="7" w:tplc="6276DDB4">
      <w:numFmt w:val="bullet"/>
      <w:lvlText w:val="•"/>
      <w:lvlJc w:val="left"/>
      <w:pPr>
        <w:ind w:left="6699" w:hanging="360"/>
      </w:pPr>
      <w:rPr>
        <w:lang w:val="ru-RU" w:eastAsia="en-US" w:bidi="ar-SA"/>
      </w:rPr>
    </w:lvl>
    <w:lvl w:ilvl="8" w:tplc="E5EAC372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27FDD"/>
    <w:multiLevelType w:val="hybridMultilevel"/>
    <w:tmpl w:val="49CC7D02"/>
    <w:lvl w:ilvl="0" w:tplc="17E02A0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5"/>
  </w:num>
  <w:num w:numId="10">
    <w:abstractNumId w:val="7"/>
  </w:num>
  <w:num w:numId="11">
    <w:abstractNumId w:val="3"/>
  </w:num>
  <w:num w:numId="12">
    <w:abstractNumId w:val="13"/>
  </w:num>
  <w:num w:numId="13">
    <w:abstractNumId w:val="28"/>
  </w:num>
  <w:num w:numId="14">
    <w:abstractNumId w:val="14"/>
  </w:num>
  <w:num w:numId="15">
    <w:abstractNumId w:val="26"/>
  </w:num>
  <w:num w:numId="16">
    <w:abstractNumId w:val="30"/>
  </w:num>
  <w:num w:numId="17">
    <w:abstractNumId w:val="27"/>
  </w:num>
  <w:num w:numId="18">
    <w:abstractNumId w:val="24"/>
  </w:num>
  <w:num w:numId="19">
    <w:abstractNumId w:val="17"/>
  </w:num>
  <w:num w:numId="20">
    <w:abstractNumId w:val="21"/>
  </w:num>
  <w:num w:numId="21">
    <w:abstractNumId w:val="15"/>
  </w:num>
  <w:num w:numId="22">
    <w:abstractNumId w:val="4"/>
  </w:num>
  <w:num w:numId="23">
    <w:abstractNumId w:val="22"/>
  </w:num>
  <w:num w:numId="24">
    <w:abstractNumId w:val="29"/>
  </w:num>
  <w:num w:numId="25">
    <w:abstractNumId w:val="8"/>
  </w:num>
  <w:num w:numId="26">
    <w:abstractNumId w:val="19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</w:num>
  <w:num w:numId="30">
    <w:abstractNumId w:val="11"/>
  </w:num>
  <w:num w:numId="31">
    <w:abstractNumId w:val="18"/>
  </w:num>
  <w:num w:numId="3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81D65"/>
    <w:rsid w:val="000A1F96"/>
    <w:rsid w:val="000A77A0"/>
    <w:rsid w:val="000B3397"/>
    <w:rsid w:val="000B55A2"/>
    <w:rsid w:val="000D258B"/>
    <w:rsid w:val="000D43CC"/>
    <w:rsid w:val="000D4C46"/>
    <w:rsid w:val="000D74AA"/>
    <w:rsid w:val="000F0FC3"/>
    <w:rsid w:val="001024BE"/>
    <w:rsid w:val="00106738"/>
    <w:rsid w:val="0011011C"/>
    <w:rsid w:val="00114D79"/>
    <w:rsid w:val="00127743"/>
    <w:rsid w:val="00134BC7"/>
    <w:rsid w:val="00137545"/>
    <w:rsid w:val="0015561E"/>
    <w:rsid w:val="001627D5"/>
    <w:rsid w:val="0017612A"/>
    <w:rsid w:val="0018347D"/>
    <w:rsid w:val="001B4B65"/>
    <w:rsid w:val="001C63E7"/>
    <w:rsid w:val="001E0E8C"/>
    <w:rsid w:val="001E1DF9"/>
    <w:rsid w:val="0020345B"/>
    <w:rsid w:val="00220E70"/>
    <w:rsid w:val="00237603"/>
    <w:rsid w:val="00247E8C"/>
    <w:rsid w:val="00250D7A"/>
    <w:rsid w:val="0026231C"/>
    <w:rsid w:val="00270E01"/>
    <w:rsid w:val="002776A1"/>
    <w:rsid w:val="0029547E"/>
    <w:rsid w:val="002B1426"/>
    <w:rsid w:val="002B34C7"/>
    <w:rsid w:val="002B3DBB"/>
    <w:rsid w:val="002B5010"/>
    <w:rsid w:val="002D2B16"/>
    <w:rsid w:val="002F2906"/>
    <w:rsid w:val="003242E1"/>
    <w:rsid w:val="00333911"/>
    <w:rsid w:val="00334165"/>
    <w:rsid w:val="003531E7"/>
    <w:rsid w:val="003601A4"/>
    <w:rsid w:val="00365D32"/>
    <w:rsid w:val="0037535C"/>
    <w:rsid w:val="0039211F"/>
    <w:rsid w:val="003934F8"/>
    <w:rsid w:val="00397A1B"/>
    <w:rsid w:val="003A18C4"/>
    <w:rsid w:val="003A21C8"/>
    <w:rsid w:val="003C1D7A"/>
    <w:rsid w:val="003C5F97"/>
    <w:rsid w:val="003D1E51"/>
    <w:rsid w:val="003E20A0"/>
    <w:rsid w:val="004254FE"/>
    <w:rsid w:val="00427112"/>
    <w:rsid w:val="00436FFC"/>
    <w:rsid w:val="00437D28"/>
    <w:rsid w:val="0044287D"/>
    <w:rsid w:val="0044354A"/>
    <w:rsid w:val="00454353"/>
    <w:rsid w:val="00461AC6"/>
    <w:rsid w:val="0047429B"/>
    <w:rsid w:val="00476C08"/>
    <w:rsid w:val="004904C5"/>
    <w:rsid w:val="00490BF3"/>
    <w:rsid w:val="004917C4"/>
    <w:rsid w:val="004A07A5"/>
    <w:rsid w:val="004B692B"/>
    <w:rsid w:val="004C3CAF"/>
    <w:rsid w:val="004C6723"/>
    <w:rsid w:val="004C703E"/>
    <w:rsid w:val="004D096E"/>
    <w:rsid w:val="004D7DE8"/>
    <w:rsid w:val="004E785E"/>
    <w:rsid w:val="004E7905"/>
    <w:rsid w:val="004F0119"/>
    <w:rsid w:val="005055FF"/>
    <w:rsid w:val="00510059"/>
    <w:rsid w:val="00520DED"/>
    <w:rsid w:val="00554CBB"/>
    <w:rsid w:val="005560AC"/>
    <w:rsid w:val="00557CC0"/>
    <w:rsid w:val="0056194A"/>
    <w:rsid w:val="00565B7C"/>
    <w:rsid w:val="00570BF4"/>
    <w:rsid w:val="00584B4C"/>
    <w:rsid w:val="005A1625"/>
    <w:rsid w:val="005A203B"/>
    <w:rsid w:val="005B05D5"/>
    <w:rsid w:val="005B0DEC"/>
    <w:rsid w:val="005B29A2"/>
    <w:rsid w:val="005B66FC"/>
    <w:rsid w:val="005C5512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3ED3"/>
    <w:rsid w:val="0064491A"/>
    <w:rsid w:val="00653B50"/>
    <w:rsid w:val="00666BDD"/>
    <w:rsid w:val="006776B4"/>
    <w:rsid w:val="006873B8"/>
    <w:rsid w:val="006B0FEA"/>
    <w:rsid w:val="006C6D6D"/>
    <w:rsid w:val="006C7A3B"/>
    <w:rsid w:val="006C7CE4"/>
    <w:rsid w:val="006D5906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225A5"/>
    <w:rsid w:val="00832EBB"/>
    <w:rsid w:val="00834734"/>
    <w:rsid w:val="00835BF6"/>
    <w:rsid w:val="0085251A"/>
    <w:rsid w:val="008761F3"/>
    <w:rsid w:val="00877D9F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5E35"/>
    <w:rsid w:val="00906E82"/>
    <w:rsid w:val="009203A8"/>
    <w:rsid w:val="0093333C"/>
    <w:rsid w:val="00945E13"/>
    <w:rsid w:val="00947BC5"/>
    <w:rsid w:val="00953113"/>
    <w:rsid w:val="00954B97"/>
    <w:rsid w:val="00955127"/>
    <w:rsid w:val="00956BC9"/>
    <w:rsid w:val="00961DA0"/>
    <w:rsid w:val="00970F49"/>
    <w:rsid w:val="009715DA"/>
    <w:rsid w:val="00976338"/>
    <w:rsid w:val="009864DD"/>
    <w:rsid w:val="009931F0"/>
    <w:rsid w:val="009955F8"/>
    <w:rsid w:val="009A1CBC"/>
    <w:rsid w:val="009A36AD"/>
    <w:rsid w:val="009B18A2"/>
    <w:rsid w:val="009D04EE"/>
    <w:rsid w:val="009E37D3"/>
    <w:rsid w:val="009E52E7"/>
    <w:rsid w:val="009E7917"/>
    <w:rsid w:val="009F57C0"/>
    <w:rsid w:val="00A0510D"/>
    <w:rsid w:val="00A11569"/>
    <w:rsid w:val="00A204BB"/>
    <w:rsid w:val="00A20A67"/>
    <w:rsid w:val="00A27EE4"/>
    <w:rsid w:val="00A36EE2"/>
    <w:rsid w:val="00A57976"/>
    <w:rsid w:val="00A624BE"/>
    <w:rsid w:val="00A636B8"/>
    <w:rsid w:val="00A646E5"/>
    <w:rsid w:val="00A8496D"/>
    <w:rsid w:val="00A85D42"/>
    <w:rsid w:val="00A87627"/>
    <w:rsid w:val="00A9189F"/>
    <w:rsid w:val="00A91D4B"/>
    <w:rsid w:val="00A962D4"/>
    <w:rsid w:val="00A9790B"/>
    <w:rsid w:val="00AA2B8A"/>
    <w:rsid w:val="00AA3AF5"/>
    <w:rsid w:val="00AB05BC"/>
    <w:rsid w:val="00AD2200"/>
    <w:rsid w:val="00AD2467"/>
    <w:rsid w:val="00AE6AB7"/>
    <w:rsid w:val="00AE7A32"/>
    <w:rsid w:val="00AF0643"/>
    <w:rsid w:val="00B00461"/>
    <w:rsid w:val="00B162B5"/>
    <w:rsid w:val="00B236AD"/>
    <w:rsid w:val="00B30A26"/>
    <w:rsid w:val="00B3384D"/>
    <w:rsid w:val="00B37579"/>
    <w:rsid w:val="00B40FFB"/>
    <w:rsid w:val="00B4196F"/>
    <w:rsid w:val="00B45392"/>
    <w:rsid w:val="00B45AA4"/>
    <w:rsid w:val="00B610A2"/>
    <w:rsid w:val="00B84E66"/>
    <w:rsid w:val="00BA2CF0"/>
    <w:rsid w:val="00BA50BC"/>
    <w:rsid w:val="00BC3813"/>
    <w:rsid w:val="00BC7808"/>
    <w:rsid w:val="00BE099A"/>
    <w:rsid w:val="00C06EBC"/>
    <w:rsid w:val="00C0723F"/>
    <w:rsid w:val="00C164F0"/>
    <w:rsid w:val="00C175C1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7A1E"/>
    <w:rsid w:val="00DE39D8"/>
    <w:rsid w:val="00DE5614"/>
    <w:rsid w:val="00E0407E"/>
    <w:rsid w:val="00E04FDF"/>
    <w:rsid w:val="00E15F2A"/>
    <w:rsid w:val="00E279E8"/>
    <w:rsid w:val="00E37517"/>
    <w:rsid w:val="00E55813"/>
    <w:rsid w:val="00E5753C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08A3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86B6E"/>
    <w:rsid w:val="00F96457"/>
    <w:rsid w:val="00FA3440"/>
    <w:rsid w:val="00FB022D"/>
    <w:rsid w:val="00FB1F17"/>
    <w:rsid w:val="00FB3492"/>
    <w:rsid w:val="00FB4548"/>
    <w:rsid w:val="00FC415A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304F380B-15B8-4DDB-ADD4-418193E0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E08A3"/>
    <w:pPr>
      <w:tabs>
        <w:tab w:val="right" w:leader="dot" w:pos="9498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EE08A3"/>
    <w:pPr>
      <w:tabs>
        <w:tab w:val="left" w:pos="142"/>
        <w:tab w:val="right" w:leader="dot" w:pos="9639"/>
      </w:tabs>
      <w:spacing w:after="0" w:line="240" w:lineRule="auto"/>
      <w:ind w:left="426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12123862/0" TargetMode="External"/><Relationship Id="rId18" Type="http://schemas.openxmlformats.org/officeDocument/2006/relationships/hyperlink" Target="http://ivo.garant.ru/document/redirect/12112604/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2164203/2" TargetMode="External"/><Relationship Id="rId17" Type="http://schemas.openxmlformats.org/officeDocument/2006/relationships/hyperlink" Target="http://ivo.garant.ru/document/redirect/12133556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37300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652992/1" TargetMode="External"/><Relationship Id="rId10" Type="http://schemas.openxmlformats.org/officeDocument/2006/relationships/hyperlink" Target="http://ivo.garant.ru/document/redirect/12164283/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900200/1" TargetMode="External"/><Relationship Id="rId14" Type="http://schemas.openxmlformats.org/officeDocument/2006/relationships/hyperlink" Target="http://ivo.garant.ru/document/redirect/10164072/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4A48-31DB-4F16-82B4-8452EB58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4948</Words>
  <Characters>28209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sofia</cp:lastModifiedBy>
  <cp:revision>6</cp:revision>
  <dcterms:created xsi:type="dcterms:W3CDTF">2024-01-28T10:52:00Z</dcterms:created>
  <dcterms:modified xsi:type="dcterms:W3CDTF">2024-01-28T16:41:00Z</dcterms:modified>
</cp:coreProperties>
</file>