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 w:rsidR="00C14F88"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A9088A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A9088A" w:rsidRDefault="00A9088A" w:rsidP="00A9088A">
      <w:pPr>
        <w:widowControl w:val="0"/>
        <w:jc w:val="center"/>
        <w:rPr>
          <w:color w:val="000000"/>
          <w:sz w:val="28"/>
          <w:szCs w:val="28"/>
        </w:rPr>
      </w:pPr>
      <w:r>
        <w:t>38.02.08 Торговое дело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704B8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2024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A9088A" w:rsidRPr="00A9088A">
        <w:rPr>
          <w:color w:val="000000"/>
        </w:rPr>
        <w:t>38.02.08 Торговое дело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A9088A" w:rsidRPr="00A9088A">
        <w:t>38.02.08 Торговое дело</w:t>
      </w:r>
      <w:bookmarkStart w:id="1" w:name="_GoBack"/>
      <w:bookmarkEnd w:id="1"/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A1775F">
        <w:rPr>
          <w:color w:val="000000"/>
        </w:rPr>
        <w:t>4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A1775F">
        <w:rPr>
          <w:color w:val="000000"/>
        </w:rPr>
        <w:t>4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</w:t>
      </w:r>
      <w:r w:rsidR="00A1775F">
        <w:rPr>
          <w:color w:val="000000"/>
        </w:rPr>
        <w:t>4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A1775F">
        <w:rPr>
          <w:color w:val="000000"/>
        </w:rPr>
        <w:t>05</w:t>
      </w:r>
      <w:r w:rsidRPr="00880D2D">
        <w:rPr>
          <w:color w:val="000000"/>
        </w:rPr>
        <w:t>.202</w:t>
      </w:r>
      <w:r w:rsidR="00A1775F">
        <w:rPr>
          <w:color w:val="000000"/>
        </w:rPr>
        <w:t>4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</w:t>
      </w:r>
      <w:r w:rsidR="00A1775F">
        <w:rPr>
          <w:color w:val="000000"/>
        </w:rPr>
        <w:t>050.2024</w:t>
      </w:r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B" w:rsidRDefault="008A64BB">
      <w:r>
        <w:separator/>
      </w:r>
    </w:p>
  </w:endnote>
  <w:endnote w:type="continuationSeparator" w:id="0">
    <w:p w:rsidR="008A64BB" w:rsidRDefault="008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6A3FF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A177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6A3FF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75F">
      <w:rPr>
        <w:rStyle w:val="a6"/>
        <w:noProof/>
      </w:rPr>
      <w:t>14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B" w:rsidRDefault="008A64BB">
      <w:r>
        <w:separator/>
      </w:r>
    </w:p>
  </w:footnote>
  <w:footnote w:type="continuationSeparator" w:id="0">
    <w:p w:rsidR="008A64BB" w:rsidRDefault="008A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B6FE8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902B34"/>
    <w:rsid w:val="00904CAD"/>
    <w:rsid w:val="00957752"/>
    <w:rsid w:val="00962D3B"/>
    <w:rsid w:val="009704B8"/>
    <w:rsid w:val="00990470"/>
    <w:rsid w:val="009D1A71"/>
    <w:rsid w:val="009E64D7"/>
    <w:rsid w:val="00A10D30"/>
    <w:rsid w:val="00A1775F"/>
    <w:rsid w:val="00A408C9"/>
    <w:rsid w:val="00A45382"/>
    <w:rsid w:val="00A71534"/>
    <w:rsid w:val="00A9088A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0B84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D1A0C1-E542-4953-95F6-126B480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19C0-00B6-4FE4-8645-46974DAF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18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97</cp:revision>
  <dcterms:created xsi:type="dcterms:W3CDTF">2021-08-31T14:16:00Z</dcterms:created>
  <dcterms:modified xsi:type="dcterms:W3CDTF">2024-06-03T06:56:00Z</dcterms:modified>
</cp:coreProperties>
</file>