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06"/>
        <w:tblW w:w="7235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235"/>
      </w:tblGrid>
      <w:tr w:rsidR="00BD0E52" w:rsidRPr="00201FC1" w:rsidTr="00B87B62"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</w:tcPr>
          <w:p w:rsidR="00BD0E52" w:rsidRPr="00201FC1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УТВЕРЖДАЮ</w:t>
            </w:r>
          </w:p>
        </w:tc>
      </w:tr>
      <w:tr w:rsidR="00BD0E52" w:rsidRPr="00201FC1" w:rsidTr="00B87B62"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</w:tcPr>
          <w:p w:rsidR="00BD0E52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  <w:u w:val="single"/>
              </w:rPr>
            </w:pPr>
            <w:r w:rsidRPr="00606C0F">
              <w:rPr>
                <w:color w:val="000000"/>
                <w:u w:val="single"/>
              </w:rPr>
              <w:t>Ломакин Артур Леонидович</w:t>
            </w:r>
          </w:p>
          <w:p w:rsidR="00BD0E52" w:rsidRPr="00606C0F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  <w:sz w:val="20"/>
                <w:szCs w:val="20"/>
              </w:rPr>
            </w:pPr>
            <w:r w:rsidRPr="00606C0F">
              <w:rPr>
                <w:color w:val="000000"/>
                <w:sz w:val="20"/>
                <w:szCs w:val="20"/>
              </w:rPr>
              <w:t>(уполномоченное лицо)</w:t>
            </w:r>
          </w:p>
          <w:p w:rsidR="00BD0E52" w:rsidRPr="00201FC1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образования и спорта </w:t>
            </w:r>
            <w:r w:rsidRPr="00201FC1">
              <w:rPr>
                <w:color w:val="000000"/>
              </w:rPr>
              <w:t>администрации  Бутурлинского</w:t>
            </w:r>
          </w:p>
        </w:tc>
      </w:tr>
      <w:tr w:rsidR="00BD0E52" w:rsidRPr="00201FC1" w:rsidTr="00B87B62"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</w:tcPr>
          <w:p w:rsidR="00BD0E52" w:rsidRPr="00201FC1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</w:rPr>
            </w:pPr>
            <w:r w:rsidRPr="00201FC1">
              <w:rPr>
                <w:color w:val="000000"/>
              </w:rPr>
              <w:t>муниципального округа</w:t>
            </w:r>
          </w:p>
          <w:p w:rsidR="00BD0E52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</w:rPr>
            </w:pPr>
            <w:r w:rsidRPr="00201FC1">
              <w:rPr>
                <w:color w:val="000000"/>
              </w:rPr>
              <w:t>Нижегородской области</w:t>
            </w:r>
          </w:p>
          <w:p w:rsidR="00BD0E52" w:rsidRPr="00606C0F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  <w:sz w:val="20"/>
                <w:szCs w:val="20"/>
              </w:rPr>
            </w:pPr>
            <w:r w:rsidRPr="00606C0F">
              <w:rPr>
                <w:color w:val="000000"/>
                <w:sz w:val="20"/>
                <w:szCs w:val="20"/>
              </w:rPr>
              <w:t>(наименование органа, осуществляющего функции и полномочия учредителя, главного распорядителя средств бюджета Бутурлинского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6C0F">
              <w:rPr>
                <w:color w:val="000000"/>
                <w:sz w:val="20"/>
                <w:szCs w:val="20"/>
              </w:rPr>
              <w:t>муниципального округа Нижегородской области)</w:t>
            </w:r>
          </w:p>
          <w:p w:rsidR="00BD0E52" w:rsidRPr="00201FC1" w:rsidRDefault="00BD0E52" w:rsidP="00B87B62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______________ А.Л.Ломакин</w:t>
            </w:r>
          </w:p>
          <w:p w:rsidR="00BD0E52" w:rsidRPr="00606C0F" w:rsidRDefault="00BD0E52" w:rsidP="00606C0F">
            <w:pPr>
              <w:widowControl w:val="0"/>
              <w:autoSpaceDE w:val="0"/>
              <w:autoSpaceDN w:val="0"/>
              <w:adjustRightInd w:val="0"/>
              <w:ind w:left="2127"/>
              <w:jc w:val="center"/>
              <w:rPr>
                <w:color w:val="000000"/>
                <w:sz w:val="20"/>
                <w:szCs w:val="20"/>
              </w:rPr>
            </w:pPr>
            <w:r w:rsidRPr="00606C0F">
              <w:rPr>
                <w:color w:val="000000"/>
                <w:sz w:val="20"/>
                <w:szCs w:val="20"/>
              </w:rPr>
              <w:t>(должность)    (подпись) (расшифровка подписи)</w:t>
            </w:r>
          </w:p>
        </w:tc>
      </w:tr>
    </w:tbl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  <w:r>
        <w:rPr>
          <w:rFonts w:ascii="Courier New" w:hAnsi="Courier New"/>
          <w:b/>
          <w:sz w:val="20"/>
          <w:szCs w:val="20"/>
        </w:rPr>
        <w:t>МУНИЦИПАЛЬНОЕ ЗАДАНИЕ N __1__</w:t>
      </w: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┌──────────────────┐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└──────────────────┘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на 20_25_ год и на плановый период 20_26_ и 20_27_ годов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┌───────┐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│ Коды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Наименование     муниципального      учреждения      Форма по </w:t>
      </w:r>
      <w:hyperlink r:id="rId5" w:history="1">
        <w:r>
          <w:rPr>
            <w:rFonts w:ascii="Courier New" w:hAnsi="Courier New"/>
            <w:sz w:val="20"/>
            <w:szCs w:val="20"/>
          </w:rPr>
          <w:t>ОКУД</w:t>
        </w:r>
      </w:hyperlink>
      <w:r>
        <w:rPr>
          <w:rFonts w:ascii="Courier New" w:hAnsi="Courier New"/>
          <w:sz w:val="20"/>
          <w:szCs w:val="20"/>
        </w:rPr>
        <w:t>│0506001│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Нижегородской области </w:t>
      </w:r>
    </w:p>
    <w:p w:rsidR="00BD0E52" w:rsidRPr="006E54BC" w:rsidRDefault="00BD0E52">
      <w:pPr>
        <w:widowControl w:val="0"/>
        <w:jc w:val="both"/>
        <w:rPr>
          <w:u w:val="single"/>
        </w:rPr>
      </w:pPr>
      <w:r w:rsidRPr="006E54BC">
        <w:rPr>
          <w:u w:val="single"/>
        </w:rPr>
        <w:t>муниципальное автономное дошкольное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 w:rsidRPr="006E54BC">
        <w:rPr>
          <w:u w:val="single"/>
        </w:rPr>
        <w:t>образовательное учреждение детский сад «Радуга</w:t>
      </w:r>
      <w:r w:rsidRPr="006E54BC">
        <w:rPr>
          <w:rFonts w:ascii="Courier New" w:hAnsi="Courier New"/>
        </w:rPr>
        <w:t>»</w:t>
      </w:r>
      <w:r>
        <w:rPr>
          <w:rFonts w:ascii="Courier New" w:hAnsi="Courier New"/>
          <w:sz w:val="20"/>
          <w:szCs w:val="20"/>
        </w:rPr>
        <w:t xml:space="preserve">                             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 w:rsidP="00606C0F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Вид  деятельности   муниципального   учреждения        Дата начала│01.01.2025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 w:rsidRPr="00606C0F">
        <w:rPr>
          <w:u w:val="single"/>
        </w:rPr>
        <w:t>образование дошкольное</w:t>
      </w:r>
      <w:r>
        <w:rPr>
          <w:rFonts w:ascii="Courier New" w:hAnsi="Courier New"/>
          <w:sz w:val="20"/>
          <w:szCs w:val="20"/>
        </w:rPr>
        <w:t xml:space="preserve">                                  действия   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_________________________________________________   Дата окончания│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действия </w:t>
      </w:r>
      <w:hyperlink w:anchor="P512" w:history="1">
        <w:r>
          <w:rPr>
            <w:rFonts w:ascii="Courier New" w:hAnsi="Courier New"/>
            <w:sz w:val="20"/>
            <w:szCs w:val="20"/>
          </w:rPr>
          <w:t>&lt;2&gt;</w:t>
        </w:r>
      </w:hyperlink>
      <w:r>
        <w:rPr>
          <w:rFonts w:ascii="Courier New" w:hAnsi="Courier New"/>
          <w:sz w:val="20"/>
          <w:szCs w:val="20"/>
        </w:rPr>
        <w:t>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_________________________________________________                 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_________________________________________________         По </w:t>
      </w:r>
      <w:hyperlink r:id="rId6" w:history="1">
        <w:r>
          <w:rPr>
            <w:rFonts w:ascii="Courier New" w:hAnsi="Courier New"/>
            <w:sz w:val="20"/>
            <w:szCs w:val="20"/>
          </w:rPr>
          <w:t>ОКВЭД</w:t>
        </w:r>
      </w:hyperlink>
      <w:r>
        <w:rPr>
          <w:rFonts w:ascii="Courier New" w:hAnsi="Courier New"/>
          <w:sz w:val="20"/>
          <w:szCs w:val="20"/>
        </w:rPr>
        <w:t xml:space="preserve">  85.11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(указывается вид деятельности муниципального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учреждения из общероссийского базового перечня           По </w:t>
      </w:r>
      <w:hyperlink r:id="rId7" w:history="1">
        <w:r>
          <w:rPr>
            <w:rFonts w:ascii="Courier New" w:hAnsi="Courier New"/>
            <w:sz w:val="20"/>
            <w:szCs w:val="20"/>
          </w:rPr>
          <w:t>ОКВЭД</w:t>
        </w:r>
      </w:hyperlink>
      <w:r>
        <w:rPr>
          <w:rFonts w:ascii="Courier New" w:hAnsi="Courier New"/>
          <w:sz w:val="20"/>
          <w:szCs w:val="20"/>
        </w:rPr>
        <w:t>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или регионального перечня)                             │ 88.91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├───────┤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По </w:t>
      </w:r>
      <w:hyperlink r:id="rId8" w:history="1">
        <w:r>
          <w:rPr>
            <w:rFonts w:ascii="Courier New" w:hAnsi="Courier New"/>
            <w:sz w:val="20"/>
            <w:szCs w:val="20"/>
          </w:rPr>
          <w:t>ОКВЭД</w:t>
        </w:r>
      </w:hyperlink>
      <w:r>
        <w:rPr>
          <w:rFonts w:ascii="Courier New" w:hAnsi="Courier New"/>
          <w:sz w:val="20"/>
          <w:szCs w:val="20"/>
        </w:rPr>
        <w:t>│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        └───────┘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  <w:r>
        <w:rPr>
          <w:rFonts w:ascii="Courier New" w:hAnsi="Courier New"/>
          <w:b/>
          <w:sz w:val="20"/>
          <w:szCs w:val="20"/>
        </w:rPr>
        <w:t xml:space="preserve">Часть 1. Сведения об оказываемых муниципальных услугах </w:t>
      </w:r>
      <w:hyperlink w:anchor="P514" w:history="1">
        <w:r>
          <w:rPr>
            <w:rFonts w:ascii="Courier New" w:hAnsi="Courier New"/>
            <w:b/>
            <w:sz w:val="20"/>
            <w:szCs w:val="20"/>
          </w:rPr>
          <w:t>&lt;3&gt;</w:t>
        </w:r>
      </w:hyperlink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Раздел ___1____</w:t>
      </w:r>
    </w:p>
    <w:p w:rsidR="00BD0E52" w:rsidRDefault="00BD0E52">
      <w:pPr>
        <w:widowControl w:val="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Услуга 1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┌───────────────┐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Код по общероссийскому │        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базовому перечню или   │ 11.Д45.0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региональному перечню  │        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└───────────────┘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  <w:u w:val="single"/>
        </w:rPr>
      </w:pPr>
      <w:r>
        <w:rPr>
          <w:rFonts w:ascii="Courier New" w:hAnsi="Courier New"/>
          <w:sz w:val="20"/>
          <w:szCs w:val="20"/>
        </w:rPr>
        <w:t xml:space="preserve">1. Наименование муниципальной услуги </w:t>
      </w:r>
      <w:r>
        <w:rPr>
          <w:rFonts w:ascii="Courier New" w:hAnsi="Courier New"/>
          <w:sz w:val="20"/>
          <w:szCs w:val="20"/>
          <w:u w:val="single"/>
        </w:rPr>
        <w:t>реализация основных образовательных программ дошкольного образования</w:t>
      </w:r>
    </w:p>
    <w:p w:rsidR="00BD0E52" w:rsidRDefault="00BD0E52">
      <w:pPr>
        <w:widowControl w:val="0"/>
        <w:jc w:val="both"/>
        <w:rPr>
          <w:sz w:val="28"/>
          <w:szCs w:val="28"/>
          <w:u w:val="single"/>
        </w:rPr>
      </w:pPr>
      <w:r>
        <w:rPr>
          <w:rFonts w:ascii="Courier New" w:hAnsi="Courier New"/>
          <w:sz w:val="20"/>
          <w:szCs w:val="20"/>
        </w:rPr>
        <w:t xml:space="preserve">2. Категории потребителей муниципальной услуги </w:t>
      </w:r>
      <w:r>
        <w:rPr>
          <w:rFonts w:ascii="Courier New" w:hAnsi="Courier New"/>
          <w:sz w:val="20"/>
          <w:szCs w:val="20"/>
          <w:u w:val="single"/>
        </w:rPr>
        <w:t>физические лица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3.  Показатели,  характеризующие  объем  и  (или)  качество муниципальной услуги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3.1. Показатели, характеризующие качество муниципальной услуги </w:t>
      </w:r>
      <w:hyperlink w:anchor="P519" w:history="1">
        <w:r>
          <w:rPr>
            <w:rFonts w:ascii="Courier New" w:hAnsi="Courier New"/>
            <w:sz w:val="20"/>
            <w:szCs w:val="20"/>
          </w:rPr>
          <w:t>&lt;4&gt;</w:t>
        </w:r>
      </w:hyperlink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992"/>
        <w:gridCol w:w="1276"/>
        <w:gridCol w:w="992"/>
        <w:gridCol w:w="709"/>
        <w:gridCol w:w="850"/>
        <w:gridCol w:w="2694"/>
        <w:gridCol w:w="850"/>
        <w:gridCol w:w="992"/>
        <w:gridCol w:w="993"/>
        <w:gridCol w:w="992"/>
        <w:gridCol w:w="992"/>
        <w:gridCol w:w="851"/>
        <w:gridCol w:w="992"/>
      </w:tblGrid>
      <w:tr w:rsidR="00BD0E52">
        <w:trPr>
          <w:cantSplit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Уникальный номер реестровой записи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3260" w:type="dxa"/>
            <w:gridSpan w:val="3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536" w:type="dxa"/>
            <w:gridSpan w:val="3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843" w:type="dxa"/>
            <w:gridSpan w:val="2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530" w:history="1">
              <w:r>
                <w:rPr>
                  <w:sz w:val="20"/>
                  <w:szCs w:val="20"/>
                </w:rPr>
                <w:t>&lt;7&gt;</w:t>
              </w:r>
            </w:hyperlink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276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694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842" w:type="dxa"/>
            <w:gridSpan w:val="2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20_25_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20_26_ год (1-й год планового периода)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20_27_ год (2-й год планового периода)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процентах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абсолютных величинах</w:t>
            </w:r>
          </w:p>
        </w:tc>
      </w:tr>
      <w:tr w:rsidR="00BD0E52">
        <w:trPr>
          <w:cantSplit/>
          <w:trHeight w:val="1344"/>
        </w:trPr>
        <w:tc>
          <w:tcPr>
            <w:tcW w:w="913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hyperlink w:anchor="P526" w:history="1">
              <w:r>
                <w:rPr>
                  <w:sz w:val="20"/>
                  <w:szCs w:val="20"/>
                </w:rPr>
                <w:t>&lt;5&gt;</w:t>
              </w:r>
            </w:hyperlink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по </w:t>
            </w:r>
            <w:hyperlink r:id="rId9" w:history="1">
              <w:r>
                <w:rPr>
                  <w:sz w:val="20"/>
                  <w:szCs w:val="20"/>
                </w:rPr>
                <w:t>ОКЕИ</w:t>
              </w:r>
            </w:hyperlink>
            <w:r>
              <w:rPr>
                <w:sz w:val="20"/>
                <w:szCs w:val="20"/>
              </w:rPr>
              <w:t xml:space="preserve"> </w:t>
            </w:r>
            <w:hyperlink w:anchor="P528" w:history="1">
              <w:r>
                <w:rPr>
                  <w:sz w:val="20"/>
                  <w:szCs w:val="20"/>
                </w:rPr>
                <w:t>&lt;6&gt;</w:t>
              </w:r>
            </w:hyperlink>
          </w:p>
        </w:tc>
        <w:tc>
          <w:tcPr>
            <w:tcW w:w="993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BD0E52">
        <w:tc>
          <w:tcPr>
            <w:tcW w:w="91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D0E52">
        <w:trPr>
          <w:cantSplit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801011О.99.0.БВ24ВТ21000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1 года до 3 лет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</w:tr>
      <w:tr w:rsidR="00BD0E52">
        <w:trPr>
          <w:cantSplit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801011О.99.0.БВ24ВУ41000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D0E52">
        <w:trPr>
          <w:cantSplit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801011О.99.0.БВ24АВ41000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D0E52">
        <w:trPr>
          <w:cantSplit/>
          <w:trHeight w:val="442"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801011О.99.0.БВ24ВЭ61000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комбинированной направленности</w:t>
            </w:r>
          </w:p>
        </w:tc>
        <w:tc>
          <w:tcPr>
            <w:tcW w:w="1276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От 3 лет до 8 лет</w:t>
            </w:r>
          </w:p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очная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5%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D0E52" w:rsidRDefault="00BD0E52">
      <w:pPr>
        <w:widowControl w:val="0"/>
        <w:ind w:firstLine="540"/>
        <w:jc w:val="both"/>
      </w:pPr>
    </w:p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3.2. Показатели, характеризующие объем муниципальной услуги</w:t>
      </w:r>
    </w:p>
    <w:p w:rsidR="00BD0E52" w:rsidRDefault="00BD0E52">
      <w:pPr>
        <w:widowControl w:val="0"/>
        <w:ind w:firstLine="540"/>
        <w:jc w:val="both"/>
      </w:pPr>
    </w:p>
    <w:tbl>
      <w:tblPr>
        <w:tblW w:w="1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9"/>
        <w:gridCol w:w="709"/>
        <w:gridCol w:w="851"/>
        <w:gridCol w:w="850"/>
        <w:gridCol w:w="709"/>
        <w:gridCol w:w="709"/>
        <w:gridCol w:w="1416"/>
        <w:gridCol w:w="993"/>
        <w:gridCol w:w="708"/>
        <w:gridCol w:w="992"/>
        <w:gridCol w:w="993"/>
        <w:gridCol w:w="850"/>
        <w:gridCol w:w="992"/>
        <w:gridCol w:w="992"/>
        <w:gridCol w:w="964"/>
        <w:gridCol w:w="739"/>
        <w:gridCol w:w="726"/>
      </w:tblGrid>
      <w:tr w:rsidR="00BD0E52">
        <w:trPr>
          <w:cantSplit/>
        </w:trPr>
        <w:tc>
          <w:tcPr>
            <w:tcW w:w="62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Уникальный номер реестровой записи </w:t>
            </w:r>
            <w:hyperlink w:anchor="P526" w:history="1">
              <w:r>
                <w:rPr>
                  <w:rFonts w:ascii="Calibri" w:hAnsi="Calibri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410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7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48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Средний размер платы (цена, тариф) </w:t>
            </w:r>
            <w:hyperlink w:anchor="P534" w:history="1">
              <w:r>
                <w:rPr>
                  <w:rFonts w:ascii="Calibri" w:hAnsi="Calibri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1465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530" w:history="1">
              <w:r>
                <w:rPr>
                  <w:rFonts w:ascii="Calibri" w:hAnsi="Calibri"/>
                  <w:sz w:val="20"/>
                  <w:szCs w:val="20"/>
                </w:rPr>
                <w:t>&lt;7&gt;</w:t>
              </w:r>
            </w:hyperlink>
          </w:p>
        </w:tc>
      </w:tr>
      <w:tr w:rsidR="00BD0E52">
        <w:trPr>
          <w:cantSplit/>
        </w:trPr>
        <w:tc>
          <w:tcPr>
            <w:tcW w:w="62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</w:p>
        </w:tc>
        <w:tc>
          <w:tcPr>
            <w:tcW w:w="1416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20_25_ год (очередной финансовый год)</w:t>
            </w:r>
          </w:p>
        </w:tc>
        <w:tc>
          <w:tcPr>
            <w:tcW w:w="993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20_26_ год (1-й год планового периода)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20_27_ год (2-й год планового периода)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20_25_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20_26_ год (1-й год планового периода)</w:t>
            </w:r>
          </w:p>
        </w:tc>
        <w:tc>
          <w:tcPr>
            <w:tcW w:w="96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20_27_ год (2-й год планового периода)</w:t>
            </w:r>
          </w:p>
        </w:tc>
        <w:tc>
          <w:tcPr>
            <w:tcW w:w="73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в процентах</w:t>
            </w:r>
          </w:p>
        </w:tc>
        <w:tc>
          <w:tcPr>
            <w:tcW w:w="726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в абсолютных величинах</w:t>
            </w:r>
          </w:p>
        </w:tc>
      </w:tr>
      <w:tr w:rsidR="00BD0E52">
        <w:trPr>
          <w:cantSplit/>
        </w:trPr>
        <w:tc>
          <w:tcPr>
            <w:tcW w:w="62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416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наименование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708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код по </w:t>
            </w:r>
            <w:hyperlink r:id="rId10" w:history="1">
              <w:r>
                <w:rPr>
                  <w:rFonts w:ascii="Calibri" w:hAnsi="Calibri"/>
                  <w:sz w:val="22"/>
                  <w:szCs w:val="20"/>
                </w:rPr>
                <w:t>ОКЕИ</w:t>
              </w:r>
            </w:hyperlink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hyperlink w:anchor="P528" w:history="1">
              <w:r>
                <w:rPr>
                  <w:rFonts w:ascii="Calibri" w:hAnsi="Calibri"/>
                  <w:sz w:val="22"/>
                  <w:szCs w:val="20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3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26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</w:tr>
      <w:tr w:rsidR="00BD0E52">
        <w:tc>
          <w:tcPr>
            <w:tcW w:w="62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</w:t>
            </w:r>
          </w:p>
        </w:tc>
        <w:tc>
          <w:tcPr>
            <w:tcW w:w="70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4</w:t>
            </w:r>
          </w:p>
        </w:tc>
        <w:tc>
          <w:tcPr>
            <w:tcW w:w="70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5</w:t>
            </w:r>
          </w:p>
        </w:tc>
        <w:tc>
          <w:tcPr>
            <w:tcW w:w="70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6</w:t>
            </w:r>
          </w:p>
        </w:tc>
        <w:tc>
          <w:tcPr>
            <w:tcW w:w="1416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7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8</w:t>
            </w:r>
          </w:p>
        </w:tc>
        <w:tc>
          <w:tcPr>
            <w:tcW w:w="708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9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10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11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13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14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15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16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17</w:t>
            </w:r>
          </w:p>
        </w:tc>
      </w:tr>
      <w:tr w:rsidR="00BD0E52">
        <w:trPr>
          <w:cantSplit/>
        </w:trPr>
        <w:tc>
          <w:tcPr>
            <w:tcW w:w="62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801011О.99.0.БВ24ВТ21000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001.Число обучающихся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BD0E52" w:rsidRPr="00C052FA" w:rsidRDefault="00BD0E52" w:rsidP="00696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D0E52">
        <w:trPr>
          <w:cantSplit/>
        </w:trPr>
        <w:tc>
          <w:tcPr>
            <w:tcW w:w="62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002.Число человеко-дней обучения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</w:t>
            </w:r>
          </w:p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:rsidR="00BD0E52" w:rsidRPr="00C052FA" w:rsidRDefault="00BD0E52" w:rsidP="00696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</w:t>
            </w:r>
          </w:p>
        </w:tc>
        <w:tc>
          <w:tcPr>
            <w:tcW w:w="993" w:type="dxa"/>
          </w:tcPr>
          <w:p w:rsidR="00BD0E52" w:rsidRPr="00C052FA" w:rsidRDefault="00BD0E52" w:rsidP="00696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 5 %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</w:tr>
      <w:tr w:rsidR="00BD0E52">
        <w:trPr>
          <w:cantSplit/>
        </w:trPr>
        <w:tc>
          <w:tcPr>
            <w:tcW w:w="62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801011О.99.0.БВ24ВУ41000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указано</w:t>
            </w:r>
          </w:p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001.Число обучающихся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BD0E52">
        <w:trPr>
          <w:cantSplit/>
        </w:trPr>
        <w:tc>
          <w:tcPr>
            <w:tcW w:w="62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002.Число человеко-дней обучения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</w:t>
            </w:r>
          </w:p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:rsidR="00BD0E52" w:rsidRDefault="00BD0E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10070</w:t>
            </w:r>
          </w:p>
        </w:tc>
        <w:tc>
          <w:tcPr>
            <w:tcW w:w="993" w:type="dxa"/>
          </w:tcPr>
          <w:p w:rsidR="00BD0E52" w:rsidRDefault="00BD0E52" w:rsidP="00B27A8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4940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До 5 %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504</w:t>
            </w:r>
          </w:p>
        </w:tc>
      </w:tr>
      <w:tr w:rsidR="00BD0E52">
        <w:trPr>
          <w:cantSplit/>
          <w:trHeight w:val="540"/>
        </w:trPr>
        <w:tc>
          <w:tcPr>
            <w:tcW w:w="62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801011О.99.0.БВ24АВ41000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3 лет до 8 лет</w:t>
            </w:r>
          </w:p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001.Число обучающихся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BD0E52">
        <w:trPr>
          <w:cantSplit/>
          <w:trHeight w:val="635"/>
        </w:trPr>
        <w:tc>
          <w:tcPr>
            <w:tcW w:w="62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002.Число человеко-дней обучения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</w:t>
            </w:r>
          </w:p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2660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2280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2280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133</w:t>
            </w:r>
          </w:p>
        </w:tc>
      </w:tr>
      <w:tr w:rsidR="00BD0E52">
        <w:trPr>
          <w:cantSplit/>
        </w:trPr>
        <w:tc>
          <w:tcPr>
            <w:tcW w:w="629" w:type="dxa"/>
            <w:vMerge w:val="restart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801011О.99.0.БВ24ВЭ61000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комбинированной направленности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От 3 лет до 8 лет</w:t>
            </w:r>
          </w:p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 CYR" w:hAnsi="Times New Roman CYR"/>
                <w:sz w:val="16"/>
                <w:szCs w:val="16"/>
              </w:rPr>
              <w:t>очная</w:t>
            </w:r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001.Число обучающихся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92" w:type="dxa"/>
          </w:tcPr>
          <w:p w:rsidR="00BD0E52" w:rsidRPr="00C052FA" w:rsidRDefault="00BD0E52" w:rsidP="00696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BD0E52">
        <w:trPr>
          <w:cantSplit/>
        </w:trPr>
        <w:tc>
          <w:tcPr>
            <w:tcW w:w="62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002.Число человеко-дней обучения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человеко-</w:t>
            </w:r>
          </w:p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дни</w:t>
            </w:r>
          </w:p>
        </w:tc>
        <w:tc>
          <w:tcPr>
            <w:tcW w:w="708" w:type="dxa"/>
          </w:tcPr>
          <w:p w:rsidR="00BD0E52" w:rsidRDefault="00BD0E52" w:rsidP="00B62614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</w:tcPr>
          <w:p w:rsidR="00BD0E52" w:rsidRPr="00C052FA" w:rsidRDefault="00BD0E52" w:rsidP="00B27A8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6080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8930</w:t>
            </w:r>
          </w:p>
        </w:tc>
        <w:tc>
          <w:tcPr>
            <w:tcW w:w="850" w:type="dxa"/>
          </w:tcPr>
          <w:p w:rsidR="00BD0E52" w:rsidRDefault="00BD0E52" w:rsidP="00B27A83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8930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До 5%</w:t>
            </w:r>
          </w:p>
        </w:tc>
        <w:tc>
          <w:tcPr>
            <w:tcW w:w="726" w:type="dxa"/>
          </w:tcPr>
          <w:p w:rsidR="00BD0E52" w:rsidRDefault="00BD0E52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304</w:t>
            </w:r>
          </w:p>
        </w:tc>
      </w:tr>
    </w:tbl>
    <w:p w:rsidR="00BD0E52" w:rsidRDefault="00BD0E52">
      <w:pPr>
        <w:widowControl w:val="0"/>
        <w:ind w:firstLine="540"/>
        <w:jc w:val="both"/>
        <w:rPr>
          <w:sz w:val="16"/>
          <w:szCs w:val="16"/>
        </w:rPr>
      </w:pPr>
    </w:p>
    <w:p w:rsidR="00BD0E52" w:rsidRDefault="00BD0E52">
      <w:pPr>
        <w:widowControl w:val="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Услуга 2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┌───────────────┐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Код по общероссийскому │        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базовому перечню или   │   11.785.0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региональному перечню  │               │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                                                        └───────────────┘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  <w:u w:val="single"/>
        </w:rPr>
      </w:pPr>
      <w:r>
        <w:rPr>
          <w:rFonts w:ascii="Courier New" w:hAnsi="Courier New"/>
          <w:sz w:val="20"/>
          <w:szCs w:val="20"/>
        </w:rPr>
        <w:t xml:space="preserve">1. Наименование муниципальной услуги </w:t>
      </w:r>
      <w:r>
        <w:rPr>
          <w:rFonts w:ascii="Courier New" w:hAnsi="Courier New"/>
          <w:sz w:val="20"/>
          <w:szCs w:val="20"/>
          <w:u w:val="single"/>
        </w:rPr>
        <w:t>присмотр и уход</w:t>
      </w:r>
    </w:p>
    <w:p w:rsidR="00BD0E52" w:rsidRDefault="00BD0E52">
      <w:pPr>
        <w:widowControl w:val="0"/>
        <w:jc w:val="both"/>
        <w:rPr>
          <w:sz w:val="28"/>
          <w:szCs w:val="28"/>
          <w:u w:val="single"/>
        </w:rPr>
      </w:pPr>
      <w:r>
        <w:rPr>
          <w:rFonts w:ascii="Courier New" w:hAnsi="Courier New"/>
          <w:sz w:val="20"/>
          <w:szCs w:val="20"/>
        </w:rPr>
        <w:t xml:space="preserve">2. Категории потребителей муниципальной услуги </w:t>
      </w:r>
      <w:r>
        <w:rPr>
          <w:rFonts w:ascii="Courier New" w:hAnsi="Courier New"/>
          <w:sz w:val="20"/>
          <w:szCs w:val="20"/>
          <w:u w:val="single"/>
        </w:rPr>
        <w:t>физические лица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3.  Показатели,  характеризующие  объем  и  (или)  качество муниципальной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услуги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3.1. Показатели, характеризующие качество муниципальной услуги </w:t>
      </w:r>
      <w:hyperlink w:anchor="P519" w:history="1">
        <w:r>
          <w:rPr>
            <w:rFonts w:ascii="Courier New" w:hAnsi="Courier New"/>
            <w:sz w:val="20"/>
            <w:szCs w:val="20"/>
          </w:rPr>
          <w:t>&lt;4&gt;</w:t>
        </w:r>
      </w:hyperlink>
    </w:p>
    <w:tbl>
      <w:tblPr>
        <w:tblW w:w="14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34"/>
        <w:gridCol w:w="1191"/>
        <w:gridCol w:w="856"/>
        <w:gridCol w:w="850"/>
        <w:gridCol w:w="851"/>
        <w:gridCol w:w="992"/>
        <w:gridCol w:w="1894"/>
        <w:gridCol w:w="1020"/>
        <w:gridCol w:w="1020"/>
        <w:gridCol w:w="1191"/>
        <w:gridCol w:w="964"/>
        <w:gridCol w:w="964"/>
        <w:gridCol w:w="850"/>
        <w:gridCol w:w="964"/>
      </w:tblGrid>
      <w:tr w:rsidR="00BD0E52">
        <w:trPr>
          <w:cantSplit/>
        </w:trPr>
        <w:tc>
          <w:tcPr>
            <w:tcW w:w="113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Уникальный номер реестровой записи </w:t>
            </w:r>
            <w:hyperlink w:anchor="P526" w:history="1">
              <w:r>
                <w:rPr>
                  <w:rFonts w:ascii="Calibri" w:hAnsi="Calibri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897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</w:tcPr>
          <w:p w:rsidR="00BD0E52" w:rsidRDefault="00BD0E52">
            <w:pPr>
              <w:widowControl w:val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814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BD0E52">
        <w:trPr>
          <w:cantSplit/>
        </w:trPr>
        <w:tc>
          <w:tcPr>
            <w:tcW w:w="113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rFonts w:ascii="Calibri" w:hAnsi="Calibri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856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______</w:t>
            </w:r>
          </w:p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(наименование показателя) </w:t>
            </w:r>
            <w:hyperlink w:anchor="P526" w:history="1">
              <w:r>
                <w:rPr>
                  <w:rFonts w:ascii="Calibri" w:hAnsi="Calibri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189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наименование показателя </w:t>
            </w:r>
            <w:hyperlink w:anchor="P526" w:history="1">
              <w:r>
                <w:rPr>
                  <w:rFonts w:ascii="Calibri" w:hAnsi="Calibri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2040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единица измерения</w:t>
            </w:r>
          </w:p>
        </w:tc>
        <w:tc>
          <w:tcPr>
            <w:tcW w:w="119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20_25_ год (очередной финансовый год)</w:t>
            </w:r>
          </w:p>
        </w:tc>
        <w:tc>
          <w:tcPr>
            <w:tcW w:w="96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20_26год (1-й год планового периода)</w:t>
            </w:r>
          </w:p>
        </w:tc>
        <w:tc>
          <w:tcPr>
            <w:tcW w:w="96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20_27_ год (2-й год планового периода)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 процентах</w:t>
            </w:r>
          </w:p>
        </w:tc>
        <w:tc>
          <w:tcPr>
            <w:tcW w:w="96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 абсолютных величинах</w:t>
            </w:r>
          </w:p>
        </w:tc>
      </w:tr>
      <w:tr w:rsidR="00BD0E52">
        <w:trPr>
          <w:cantSplit/>
        </w:trPr>
        <w:tc>
          <w:tcPr>
            <w:tcW w:w="113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19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6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89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102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наименование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102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код по </w:t>
            </w:r>
            <w:hyperlink r:id="rId11" w:history="1">
              <w:r>
                <w:rPr>
                  <w:rFonts w:ascii="Calibri" w:hAnsi="Calibri"/>
                  <w:sz w:val="22"/>
                  <w:szCs w:val="20"/>
                </w:rPr>
                <w:t>ОКЕИ</w:t>
              </w:r>
            </w:hyperlink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hyperlink w:anchor="P528" w:history="1">
              <w:r>
                <w:rPr>
                  <w:rFonts w:ascii="Calibri" w:hAnsi="Calibri"/>
                  <w:sz w:val="22"/>
                  <w:szCs w:val="20"/>
                </w:rPr>
                <w:t>&lt;6&gt;</w:t>
              </w:r>
            </w:hyperlink>
          </w:p>
        </w:tc>
        <w:tc>
          <w:tcPr>
            <w:tcW w:w="119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</w:tr>
      <w:tr w:rsidR="00BD0E52">
        <w:trPr>
          <w:cantSplit/>
          <w:trHeight w:val="411"/>
        </w:trPr>
        <w:tc>
          <w:tcPr>
            <w:tcW w:w="1134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853211О.99.0.БВ19АБ87000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 за исключением детей инвалидов и инвалидов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/>
                <w:color w:val="000000"/>
                <w:sz w:val="16"/>
                <w:szCs w:val="16"/>
              </w:rPr>
              <w:t>Доля детей, посещающих ДОУ от общего количества детей дошкольного</w:t>
            </w:r>
          </w:p>
        </w:tc>
        <w:tc>
          <w:tcPr>
            <w:tcW w:w="1020" w:type="dxa"/>
          </w:tcPr>
          <w:p w:rsidR="00BD0E52" w:rsidRDefault="00BD0E52">
            <w:pPr>
              <w:spacing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020" w:type="dxa"/>
          </w:tcPr>
          <w:p w:rsidR="00BD0E52" w:rsidRDefault="00BD0E52">
            <w:pPr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91" w:type="dxa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85%</w:t>
            </w:r>
          </w:p>
        </w:tc>
        <w:tc>
          <w:tcPr>
            <w:tcW w:w="964" w:type="dxa"/>
          </w:tcPr>
          <w:p w:rsidR="00BD0E52" w:rsidRDefault="00BD0E52">
            <w:pPr>
              <w:spacing w:line="100" w:lineRule="atLeast"/>
              <w:jc w:val="center"/>
              <w:rPr>
                <w:rFonts w:ascii="Times New Roman CYR" w:hAnsi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 xml:space="preserve"> 85%</w:t>
            </w:r>
          </w:p>
        </w:tc>
        <w:tc>
          <w:tcPr>
            <w:tcW w:w="964" w:type="dxa"/>
          </w:tcPr>
          <w:p w:rsidR="00BD0E52" w:rsidRDefault="00BD0E52">
            <w:pPr>
              <w:spacing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</w:tr>
      <w:tr w:rsidR="00BD0E52">
        <w:trPr>
          <w:cantSplit/>
          <w:trHeight w:val="91"/>
        </w:trPr>
        <w:tc>
          <w:tcPr>
            <w:tcW w:w="1134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/>
                <w:color w:val="000000"/>
                <w:sz w:val="16"/>
                <w:szCs w:val="16"/>
              </w:rPr>
              <w:t>Средний показатель посещаемости ДОУ</w:t>
            </w:r>
          </w:p>
        </w:tc>
        <w:tc>
          <w:tcPr>
            <w:tcW w:w="102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020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91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</w:tr>
      <w:tr w:rsidR="00BD0E52">
        <w:trPr>
          <w:cantSplit/>
          <w:trHeight w:val="91"/>
        </w:trPr>
        <w:tc>
          <w:tcPr>
            <w:tcW w:w="1134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:rsidR="00BD0E52" w:rsidRDefault="00BD0E52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/>
                <w:color w:val="000000"/>
                <w:sz w:val="16"/>
                <w:szCs w:val="16"/>
              </w:rPr>
              <w:t>Показатель заболеваемости детей в ДОУ</w:t>
            </w:r>
          </w:p>
        </w:tc>
        <w:tc>
          <w:tcPr>
            <w:tcW w:w="102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020" w:type="dxa"/>
          </w:tcPr>
          <w:p w:rsidR="00BD0E52" w:rsidRDefault="00BD0E52" w:rsidP="00B62614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91" w:type="dxa"/>
          </w:tcPr>
          <w:p w:rsidR="00BD0E52" w:rsidRDefault="00BD0E5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</w:tr>
      <w:tr w:rsidR="00BD0E52">
        <w:trPr>
          <w:cantSplit/>
          <w:trHeight w:val="330"/>
        </w:trPr>
        <w:tc>
          <w:tcPr>
            <w:tcW w:w="1134" w:type="dxa"/>
            <w:vMerge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vMerge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BD0E52" w:rsidRDefault="00BD0E52">
            <w:pPr>
              <w:spacing w:after="200" w:line="100" w:lineRule="atLeast"/>
              <w:jc w:val="center"/>
              <w:rPr>
                <w:rFonts w:ascii="Times New Roman CYR" w:hAnsi="Times New Roman CYR"/>
                <w:color w:val="000000"/>
                <w:sz w:val="16"/>
                <w:szCs w:val="16"/>
              </w:rPr>
            </w:pPr>
            <w:r>
              <w:rPr>
                <w:rFonts w:ascii="Times New Roman CYR" w:hAnsi="Times New Roman CYR"/>
                <w:color w:val="000000"/>
                <w:sz w:val="16"/>
                <w:szCs w:val="16"/>
              </w:rPr>
              <w:t>Показатель случаев детского травматизма в ДОУ</w:t>
            </w:r>
          </w:p>
        </w:tc>
        <w:tc>
          <w:tcPr>
            <w:tcW w:w="1020" w:type="dxa"/>
          </w:tcPr>
          <w:p w:rsidR="00BD0E52" w:rsidRDefault="00BD0E52">
            <w:pPr>
              <w:spacing w:after="20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020" w:type="dxa"/>
          </w:tcPr>
          <w:p w:rsidR="00BD0E52" w:rsidRDefault="00BD0E52">
            <w:pPr>
              <w:spacing w:after="20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91" w:type="dxa"/>
          </w:tcPr>
          <w:p w:rsidR="00BD0E52" w:rsidRDefault="00BD0E52">
            <w:pPr>
              <w:spacing w:after="20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0%</w:t>
            </w:r>
          </w:p>
        </w:tc>
        <w:tc>
          <w:tcPr>
            <w:tcW w:w="964" w:type="dxa"/>
          </w:tcPr>
          <w:p w:rsidR="00BD0E52" w:rsidRDefault="00BD0E52">
            <w:pPr>
              <w:spacing w:after="200" w:line="10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0%</w:t>
            </w:r>
          </w:p>
        </w:tc>
        <w:tc>
          <w:tcPr>
            <w:tcW w:w="964" w:type="dxa"/>
          </w:tcPr>
          <w:p w:rsidR="00BD0E52" w:rsidRDefault="00BD0E52">
            <w:pPr>
              <w:spacing w:after="20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0%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3.2. Показатели, характеризующие объем муниципальной услуги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50"/>
        <w:gridCol w:w="850"/>
        <w:gridCol w:w="851"/>
        <w:gridCol w:w="849"/>
        <w:gridCol w:w="851"/>
        <w:gridCol w:w="709"/>
        <w:gridCol w:w="850"/>
        <w:gridCol w:w="851"/>
        <w:gridCol w:w="992"/>
        <w:gridCol w:w="993"/>
        <w:gridCol w:w="850"/>
        <w:gridCol w:w="992"/>
        <w:gridCol w:w="992"/>
        <w:gridCol w:w="964"/>
        <w:gridCol w:w="739"/>
        <w:gridCol w:w="708"/>
      </w:tblGrid>
      <w:tr w:rsidR="00BD0E52">
        <w:trPr>
          <w:cantSplit/>
        </w:trPr>
        <w:tc>
          <w:tcPr>
            <w:tcW w:w="913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Уникальный номер реестровой записи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2551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700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10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48" w:type="dxa"/>
            <w:gridSpan w:val="3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Средний размер платы (цена, тариф) </w:t>
            </w:r>
            <w:hyperlink w:anchor="P534" w:history="1">
              <w:r>
                <w:rPr>
                  <w:rFonts w:ascii="Calibri" w:hAnsi="Calibri"/>
                  <w:sz w:val="22"/>
                  <w:szCs w:val="20"/>
                </w:rPr>
                <w:t>&lt;8&gt;</w:t>
              </w:r>
            </w:hyperlink>
          </w:p>
        </w:tc>
        <w:tc>
          <w:tcPr>
            <w:tcW w:w="1447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Допустимые (возможные) отклонения от установленных показателей качества муниципальной услуги </w:t>
            </w:r>
            <w:hyperlink w:anchor="P530" w:history="1">
              <w:r>
                <w:rPr>
                  <w:rFonts w:ascii="Calibri" w:hAnsi="Calibri"/>
                  <w:sz w:val="22"/>
                  <w:szCs w:val="20"/>
                </w:rPr>
                <w:t>&lt;7&gt;</w:t>
              </w:r>
            </w:hyperlink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84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__________ (наименование показателя)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70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наименование показателя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1701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20_25_ год (очередной финансовый год)</w:t>
            </w:r>
          </w:p>
        </w:tc>
        <w:tc>
          <w:tcPr>
            <w:tcW w:w="993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20_26_ год (1-й год планового периода)</w:t>
            </w:r>
          </w:p>
        </w:tc>
        <w:tc>
          <w:tcPr>
            <w:tcW w:w="850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20_27_ год (2-й год планового периода)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20_25_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20_26_ год (1-й год планового периода)</w:t>
            </w:r>
          </w:p>
        </w:tc>
        <w:tc>
          <w:tcPr>
            <w:tcW w:w="964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20_27_ год (2-й год планового периода)</w:t>
            </w:r>
          </w:p>
        </w:tc>
        <w:tc>
          <w:tcPr>
            <w:tcW w:w="739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в процентах</w:t>
            </w:r>
          </w:p>
        </w:tc>
        <w:tc>
          <w:tcPr>
            <w:tcW w:w="708" w:type="dxa"/>
            <w:vMerge w:val="restart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в абсолютных величинах</w:t>
            </w:r>
          </w:p>
        </w:tc>
      </w:tr>
      <w:tr w:rsidR="00BD0E52">
        <w:trPr>
          <w:cantSplit/>
        </w:trPr>
        <w:tc>
          <w:tcPr>
            <w:tcW w:w="913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4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наименование </w:t>
            </w:r>
            <w:hyperlink w:anchor="P526" w:history="1">
              <w:r>
                <w:rPr>
                  <w:rFonts w:ascii="Calibri" w:hAnsi="Calibri"/>
                  <w:sz w:val="22"/>
                  <w:szCs w:val="20"/>
                </w:rPr>
                <w:t>&lt;5&gt;</w:t>
              </w:r>
            </w:hyperlink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код по </w:t>
            </w:r>
            <w:hyperlink r:id="rId12" w:history="1">
              <w:r>
                <w:rPr>
                  <w:rFonts w:ascii="Calibri" w:hAnsi="Calibri"/>
                  <w:sz w:val="22"/>
                  <w:szCs w:val="20"/>
                </w:rPr>
                <w:t>ОКЕИ</w:t>
              </w:r>
            </w:hyperlink>
            <w:r>
              <w:rPr>
                <w:rFonts w:ascii="Calibri" w:hAnsi="Calibri"/>
                <w:sz w:val="22"/>
                <w:szCs w:val="20"/>
              </w:rPr>
              <w:t xml:space="preserve"> </w:t>
            </w:r>
            <w:hyperlink w:anchor="P528" w:history="1">
              <w:r>
                <w:rPr>
                  <w:rFonts w:ascii="Calibri" w:hAnsi="Calibri"/>
                  <w:sz w:val="22"/>
                  <w:szCs w:val="20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850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39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708" w:type="dxa"/>
            <w:vMerge/>
          </w:tcPr>
          <w:p w:rsidR="00BD0E52" w:rsidRDefault="00BD0E52">
            <w:pPr>
              <w:spacing w:after="200" w:line="276" w:lineRule="auto"/>
              <w:rPr>
                <w:rFonts w:ascii="Calibri" w:hAnsi="Calibri"/>
                <w:lang w:eastAsia="en-US"/>
              </w:rPr>
            </w:pPr>
          </w:p>
        </w:tc>
      </w:tr>
      <w:tr w:rsidR="00BD0E52">
        <w:tc>
          <w:tcPr>
            <w:tcW w:w="91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4</w:t>
            </w:r>
          </w:p>
        </w:tc>
        <w:tc>
          <w:tcPr>
            <w:tcW w:w="84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5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6</w:t>
            </w:r>
          </w:p>
        </w:tc>
        <w:tc>
          <w:tcPr>
            <w:tcW w:w="70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7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8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9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10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11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12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13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14</w:t>
            </w:r>
          </w:p>
        </w:tc>
        <w:tc>
          <w:tcPr>
            <w:tcW w:w="96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15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16</w:t>
            </w:r>
          </w:p>
        </w:tc>
        <w:tc>
          <w:tcPr>
            <w:tcW w:w="708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17</w:t>
            </w:r>
          </w:p>
        </w:tc>
      </w:tr>
      <w:tr w:rsidR="00BD0E52">
        <w:trPr>
          <w:trHeight w:val="75"/>
        </w:trPr>
        <w:tc>
          <w:tcPr>
            <w:tcW w:w="913" w:type="dxa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853211О.99.0.БВ19АБ87000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Обучающиеся за исключением детей инвалидов и инвалидов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49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001.Число человеко-дней пребывания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человеко-</w:t>
            </w:r>
          </w:p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дни</w:t>
            </w:r>
          </w:p>
        </w:tc>
        <w:tc>
          <w:tcPr>
            <w:tcW w:w="851" w:type="dxa"/>
          </w:tcPr>
          <w:p w:rsidR="00BD0E52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992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21660</w:t>
            </w:r>
          </w:p>
        </w:tc>
        <w:tc>
          <w:tcPr>
            <w:tcW w:w="993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850" w:type="dxa"/>
          </w:tcPr>
          <w:p w:rsidR="00BD0E52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992" w:type="dxa"/>
          </w:tcPr>
          <w:p w:rsidR="00BD0E52" w:rsidRDefault="00BD0E52" w:rsidP="003F1A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</w:t>
            </w:r>
          </w:p>
        </w:tc>
        <w:tc>
          <w:tcPr>
            <w:tcW w:w="992" w:type="dxa"/>
          </w:tcPr>
          <w:p w:rsidR="00BD0E52" w:rsidRDefault="00BD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</w:t>
            </w:r>
          </w:p>
        </w:tc>
        <w:tc>
          <w:tcPr>
            <w:tcW w:w="964" w:type="dxa"/>
          </w:tcPr>
          <w:p w:rsidR="00BD0E52" w:rsidRDefault="00BD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</w:t>
            </w:r>
          </w:p>
        </w:tc>
        <w:tc>
          <w:tcPr>
            <w:tcW w:w="739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5 %</w:t>
            </w:r>
          </w:p>
        </w:tc>
        <w:tc>
          <w:tcPr>
            <w:tcW w:w="708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</w:t>
            </w:r>
          </w:p>
        </w:tc>
      </w:tr>
    </w:tbl>
    <w:p w:rsidR="00BD0E52" w:rsidRDefault="00BD0E52">
      <w:pPr>
        <w:widowControl w:val="0"/>
        <w:ind w:firstLine="540"/>
        <w:jc w:val="both"/>
      </w:pPr>
    </w:p>
    <w:p w:rsidR="00BD0E52" w:rsidRDefault="00BD0E52">
      <w:pPr>
        <w:widowControl w:val="0"/>
        <w:ind w:firstLine="540"/>
        <w:jc w:val="both"/>
      </w:pPr>
    </w:p>
    <w:p w:rsidR="00BD0E52" w:rsidRDefault="00BD0E52">
      <w:pPr>
        <w:widowControl w:val="0"/>
        <w:ind w:firstLine="540"/>
        <w:jc w:val="both"/>
        <w:sectPr w:rsidR="00BD0E52">
          <w:pgSz w:w="16838" w:h="11906" w:orient="landscape"/>
          <w:pgMar w:top="720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4. Нормативные правовые акты, устанавливающие размер платы (цену, тариф) либо порядок ее (его) установления</w:t>
      </w:r>
    </w:p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644"/>
        <w:gridCol w:w="3004"/>
        <w:gridCol w:w="1174"/>
        <w:gridCol w:w="1093"/>
        <w:gridCol w:w="7889"/>
      </w:tblGrid>
      <w:tr w:rsidR="00BD0E52">
        <w:tc>
          <w:tcPr>
            <w:tcW w:w="14804" w:type="dxa"/>
            <w:gridSpan w:val="5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Нормативный правовой акт</w:t>
            </w:r>
          </w:p>
        </w:tc>
      </w:tr>
      <w:tr w:rsidR="00BD0E52">
        <w:tc>
          <w:tcPr>
            <w:tcW w:w="164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вид</w:t>
            </w:r>
          </w:p>
        </w:tc>
        <w:tc>
          <w:tcPr>
            <w:tcW w:w="300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принявший орган</w:t>
            </w:r>
          </w:p>
        </w:tc>
        <w:tc>
          <w:tcPr>
            <w:tcW w:w="117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дата</w:t>
            </w:r>
          </w:p>
        </w:tc>
        <w:tc>
          <w:tcPr>
            <w:tcW w:w="10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номер</w:t>
            </w:r>
          </w:p>
        </w:tc>
        <w:tc>
          <w:tcPr>
            <w:tcW w:w="788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наименование</w:t>
            </w:r>
          </w:p>
        </w:tc>
      </w:tr>
      <w:tr w:rsidR="00BD0E52">
        <w:tc>
          <w:tcPr>
            <w:tcW w:w="164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</w:t>
            </w:r>
          </w:p>
        </w:tc>
        <w:tc>
          <w:tcPr>
            <w:tcW w:w="300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tcW w:w="1174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  <w:tc>
          <w:tcPr>
            <w:tcW w:w="1093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4</w:t>
            </w:r>
          </w:p>
        </w:tc>
        <w:tc>
          <w:tcPr>
            <w:tcW w:w="7889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5</w:t>
            </w:r>
          </w:p>
        </w:tc>
      </w:tr>
      <w:tr w:rsidR="00BD0E52">
        <w:tc>
          <w:tcPr>
            <w:tcW w:w="1644" w:type="dxa"/>
          </w:tcPr>
          <w:p w:rsidR="00BD0E52" w:rsidRPr="00B62614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 w:rsidRPr="00B62614">
              <w:rPr>
                <w:color w:val="000000"/>
                <w:sz w:val="20"/>
                <w:szCs w:val="20"/>
              </w:rPr>
              <w:t>Постановление</w:t>
            </w:r>
          </w:p>
        </w:tc>
        <w:tc>
          <w:tcPr>
            <w:tcW w:w="3004" w:type="dxa"/>
          </w:tcPr>
          <w:p w:rsidR="00BD0E52" w:rsidRPr="00B62614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 w:rsidRPr="00B62614">
              <w:rPr>
                <w:color w:val="000000"/>
                <w:sz w:val="20"/>
                <w:szCs w:val="20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1174" w:type="dxa"/>
          </w:tcPr>
          <w:p w:rsidR="00BD0E52" w:rsidRPr="00B62614" w:rsidRDefault="00BD0E5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09.01.2025</w:t>
            </w:r>
          </w:p>
        </w:tc>
        <w:tc>
          <w:tcPr>
            <w:tcW w:w="1093" w:type="dxa"/>
          </w:tcPr>
          <w:p w:rsidR="00BD0E52" w:rsidRPr="00B62614" w:rsidRDefault="00BD0E52">
            <w:pPr>
              <w:widowControl w:val="0"/>
              <w:tabs>
                <w:tab w:val="center" w:pos="38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</w:t>
            </w:r>
          </w:p>
        </w:tc>
        <w:tc>
          <w:tcPr>
            <w:tcW w:w="7889" w:type="dxa"/>
          </w:tcPr>
          <w:p w:rsidR="00BD0E52" w:rsidRPr="00461873" w:rsidRDefault="00BD0E52">
            <w:pPr>
              <w:jc w:val="both"/>
              <w:rPr>
                <w:sz w:val="20"/>
                <w:szCs w:val="20"/>
              </w:rPr>
            </w:pPr>
            <w:r w:rsidRPr="00B62614">
              <w:rPr>
                <w:sz w:val="20"/>
                <w:szCs w:val="20"/>
              </w:rPr>
              <w:t xml:space="preserve"> </w:t>
            </w:r>
            <w:r w:rsidRPr="00461873">
              <w:rPr>
                <w:sz w:val="20"/>
                <w:szCs w:val="20"/>
              </w:rPr>
              <w:t>«Об установлении размера родительской платы за присмотр и уход за детьми в муниципальных организациях Бутурлинского муниципального округа Нижегородской области, осуществляющих образовательную деятельность по реализации образовательных программ дошкольного образования, на 2025 год»</w:t>
            </w:r>
          </w:p>
          <w:p w:rsidR="00BD0E52" w:rsidRPr="00B62614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5. Порядок оказания муниципальной услуги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5.1.    Нормативные    правовые   акты,   регулирующие   порядок   оказания</w:t>
      </w:r>
    </w:p>
    <w:p w:rsidR="00BD0E52" w:rsidRDefault="00BD0E52">
      <w:pPr>
        <w:widowControl w:val="0"/>
        <w:jc w:val="both"/>
      </w:pPr>
      <w:r>
        <w:rPr>
          <w:rFonts w:ascii="Courier New" w:hAnsi="Courier New"/>
          <w:sz w:val="20"/>
          <w:szCs w:val="20"/>
        </w:rPr>
        <w:t>муниципальной услуги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Бюджетный кодекс РФ от 31.07.1998 № 145-ФЗ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Федеральный закон  от 29.12.2012 № 273-ФЗ «Об образовании в РФ»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Федеральный закон  от 12 января  1996 г. № 7-ФЗ «О некоммерческих организациях»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Федеральный закон от  3 ноября 2006 г. № 174-ФЗ «Об автономных учреждениях»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Федеральный закон от 06.10.2003 № 131-ФЗ «Об общих принципах организации местного самоуправления в РФ»</w:t>
      </w:r>
    </w:p>
    <w:p w:rsidR="00BD0E52" w:rsidRPr="00461873" w:rsidRDefault="00BD0E52" w:rsidP="00461873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Приказ  Министерства просвещения РФ от 31.07.2020 № 373 «Об утверждении  Порядка  организации и осуществления образовательной деятельности по основным  общеобразовательным программам </w:t>
      </w:r>
      <w:r>
        <w:rPr>
          <w:color w:val="000000"/>
          <w:sz w:val="20"/>
          <w:szCs w:val="20"/>
        </w:rPr>
        <w:t>-</w:t>
      </w:r>
      <w:r w:rsidRPr="00461873">
        <w:rPr>
          <w:color w:val="000000"/>
          <w:sz w:val="20"/>
          <w:szCs w:val="20"/>
        </w:rPr>
        <w:t xml:space="preserve"> образовательным программам  дошкольного образования»</w:t>
      </w:r>
    </w:p>
    <w:p w:rsidR="00BD0E52" w:rsidRPr="00461873" w:rsidRDefault="00BD0E52" w:rsidP="004A0A90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Постановление главного государственного санитарного врача  РФ от 28.09.2020 №28 «Санитарно-эпидемиологические требования  к организации воспитания и обучения, отдыха и оздоровления детей и молодежи»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Закон Нижегородской области от  28.11.2013 № 160-З «О предоставлении органам местного самоуправления  муниципальных округов и  городских округов Нижегородской области субвенций на исполнение  полномочий в  сфере общего образования»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Постановление Правительства Нижегородской области от  1 октября 2015 г. № 623 «О  формировании  государственного задания на оказание государственных услуг (выполнение работ) в отношении  государственных учреждений  Нижегородской  области и финансового обеспечения  выполнения государственного задания»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района Нижегородской области от  </w:t>
      </w:r>
      <w:r w:rsidRPr="00461873">
        <w:rPr>
          <w:b/>
          <w:bCs/>
          <w:color w:val="000000"/>
          <w:sz w:val="20"/>
          <w:szCs w:val="20"/>
        </w:rPr>
        <w:t xml:space="preserve">13.10.2020 № 961 </w:t>
      </w:r>
      <w:r w:rsidRPr="00461873">
        <w:rPr>
          <w:color w:val="000000"/>
          <w:sz w:val="20"/>
          <w:szCs w:val="20"/>
        </w:rPr>
        <w:t>«О формировании муниципального  задания на оказание  муниципальных услуг (выполнения работ) в отношении муниципальных  учреждений Бутурлинского муниципального  округа  Нижегородской области  и финансовом обеспечении  выполнения муниципального задания»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района Нижегородской области от  </w:t>
      </w:r>
      <w:r w:rsidRPr="00461873">
        <w:rPr>
          <w:b/>
          <w:bCs/>
          <w:color w:val="000000"/>
          <w:sz w:val="20"/>
          <w:szCs w:val="20"/>
        </w:rPr>
        <w:t>13.11.2020 № 1053</w:t>
      </w:r>
      <w:r w:rsidRPr="00461873">
        <w:rPr>
          <w:color w:val="000000"/>
          <w:sz w:val="20"/>
          <w:szCs w:val="20"/>
        </w:rPr>
        <w:t>  «Об утверждении  Порядка соблюдения  требований к определению нормативных затрат  на оказание муниципальных услуг, применяемых при  расчете  объема финансового обеспечения  выполнения  муниципального задания на оказание муниципальных услуг (выполнение работ) муниципальными  учреждениями Бутурлинского муниципального округа Нижегородской области»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округа Нижегородской области от </w:t>
      </w:r>
      <w:r w:rsidRPr="00461873">
        <w:rPr>
          <w:b/>
          <w:bCs/>
          <w:color w:val="000000"/>
          <w:sz w:val="20"/>
          <w:szCs w:val="20"/>
        </w:rPr>
        <w:t>08.10.2021 №1226</w:t>
      </w:r>
      <w:r w:rsidRPr="00461873">
        <w:rPr>
          <w:color w:val="000000"/>
          <w:sz w:val="20"/>
          <w:szCs w:val="20"/>
        </w:rPr>
        <w:t xml:space="preserve"> «О внесении изменений в  постановление администрации Бутурлинского муниципального района  Нижегородской области от 13.20.2020№ 961 «О формировании муниципального  задания на оказание  муниципальных услуг (выполнения работ) в отношении муниципальных  учреждений Бутурлинского муниципального  округа  Нижегородской области  и финансовом обеспечении  выполнения муниципального задания»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округа Нижегородской области от  </w:t>
      </w:r>
      <w:r w:rsidRPr="00461873">
        <w:rPr>
          <w:b/>
          <w:bCs/>
          <w:color w:val="000000"/>
          <w:sz w:val="20"/>
          <w:szCs w:val="20"/>
        </w:rPr>
        <w:t>28.04.2023 № 601</w:t>
      </w:r>
      <w:r w:rsidRPr="00461873">
        <w:rPr>
          <w:color w:val="000000"/>
          <w:sz w:val="20"/>
          <w:szCs w:val="20"/>
        </w:rPr>
        <w:t xml:space="preserve"> «О внесении изменений в</w:t>
      </w:r>
      <w:r w:rsidRPr="00461873">
        <w:rPr>
          <w:color w:val="FF0000"/>
          <w:sz w:val="20"/>
          <w:szCs w:val="20"/>
        </w:rPr>
        <w:t> </w:t>
      </w:r>
      <w:r w:rsidRPr="00461873">
        <w:rPr>
          <w:color w:val="000000"/>
          <w:sz w:val="20"/>
          <w:szCs w:val="20"/>
        </w:rPr>
        <w:t>постановление администрации Бутурлинского муниципального района  Нижегородской области от 13.20.2020№ 961 «О формировании муниципального  задания на оказание  муниципальных услуг (выполнения работ) в отношении муниципальных  учреждений Бутурлинского муниципального  округа  Нижегородской области  и финансовом обеспечении  выполнения муниципального задания»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округа Нижегородской области от </w:t>
      </w:r>
      <w:r w:rsidRPr="00461873">
        <w:rPr>
          <w:b/>
          <w:bCs/>
          <w:color w:val="000000"/>
          <w:sz w:val="20"/>
          <w:szCs w:val="20"/>
        </w:rPr>
        <w:t>22.03.2021 № 278</w:t>
      </w:r>
      <w:r w:rsidRPr="00461873">
        <w:rPr>
          <w:color w:val="000000"/>
          <w:sz w:val="20"/>
          <w:szCs w:val="20"/>
        </w:rPr>
        <w:t xml:space="preserve"> «Об утверждении порядка  оценки соответствия качества предоставляемых  бюджетных услуг  стандартам качества  бюджетных услуг, предоставляемых за счет средств  Бутурлинского муниципального округа  Нижегородской области  населению Бутурлинского муниципального округа Нижегородской области»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461873">
        <w:rPr>
          <w:color w:val="000000"/>
          <w:sz w:val="20"/>
          <w:szCs w:val="20"/>
        </w:rPr>
        <w:t>Постановление администрации Бутурлинского муниципального округа Нижегородской области от </w:t>
      </w:r>
      <w:r w:rsidRPr="00461873">
        <w:rPr>
          <w:b/>
          <w:bCs/>
          <w:color w:val="000000"/>
          <w:sz w:val="20"/>
          <w:szCs w:val="20"/>
        </w:rPr>
        <w:t>22.12.2022 №1739</w:t>
      </w:r>
      <w:r w:rsidRPr="00461873">
        <w:rPr>
          <w:color w:val="000000"/>
          <w:sz w:val="20"/>
          <w:szCs w:val="20"/>
        </w:rPr>
        <w:t xml:space="preserve"> «Об утверждении стандарта  качества  предоставления муниципальных услуг в сфере образования»</w:t>
      </w:r>
    </w:p>
    <w:p w:rsidR="00BD0E52" w:rsidRPr="00461873" w:rsidRDefault="00BD0E52" w:rsidP="004A0A90">
      <w:pPr>
        <w:jc w:val="both"/>
        <w:rPr>
          <w:sz w:val="20"/>
          <w:szCs w:val="20"/>
        </w:rPr>
      </w:pPr>
      <w:r w:rsidRPr="00461873">
        <w:rPr>
          <w:color w:val="000000"/>
          <w:sz w:val="20"/>
          <w:szCs w:val="20"/>
        </w:rPr>
        <w:t xml:space="preserve">Постановление администрации Бутурлинского муниципального округа Нижегородской области от </w:t>
      </w:r>
      <w:r w:rsidRPr="00461873">
        <w:rPr>
          <w:b/>
          <w:bCs/>
          <w:color w:val="000000"/>
          <w:sz w:val="20"/>
          <w:szCs w:val="20"/>
        </w:rPr>
        <w:t>23.01.2023 № 65</w:t>
      </w:r>
      <w:r w:rsidRPr="00461873">
        <w:rPr>
          <w:color w:val="000000"/>
          <w:sz w:val="20"/>
          <w:szCs w:val="20"/>
        </w:rPr>
        <w:t xml:space="preserve"> «О внесении изменений  в Стандарт качества   предоставления  муниципальных услуг в сфере образования  для муниципальных  образовательных организаций, находящихся в ведении  управления образования и спорта  администрации Бутурлинского муниципального  округа Нижегородской области, утвержденный постановлением администрации  Бутурлинского муниципального округа Нижегородской области от 22.12.2022 №1739 «Об утверждении стандарта  качества  предоставления муниципальных услуг в сфере образования»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5.2.  Порядок  информирования  потенциальных  потребителей  муниципальной услуги</w:t>
      </w:r>
    </w:p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2"/>
        <w:gridCol w:w="3748"/>
        <w:gridCol w:w="6756"/>
        <w:gridCol w:w="3628"/>
      </w:tblGrid>
      <w:tr w:rsidR="00BD0E52" w:rsidTr="00D84A07">
        <w:tc>
          <w:tcPr>
            <w:tcW w:w="3810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Способ информирования</w:t>
            </w:r>
          </w:p>
        </w:tc>
        <w:tc>
          <w:tcPr>
            <w:tcW w:w="6756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Состав размещаемой информации</w:t>
            </w:r>
          </w:p>
        </w:tc>
        <w:tc>
          <w:tcPr>
            <w:tcW w:w="3628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Частота обновления информации</w:t>
            </w:r>
          </w:p>
        </w:tc>
      </w:tr>
      <w:tr w:rsidR="00BD0E52" w:rsidTr="00D84A07">
        <w:tc>
          <w:tcPr>
            <w:tcW w:w="3810" w:type="dxa"/>
            <w:gridSpan w:val="2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1</w:t>
            </w:r>
          </w:p>
        </w:tc>
        <w:tc>
          <w:tcPr>
            <w:tcW w:w="6756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tcW w:w="3628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Размещение информации на официальном сайте  образовательного учреждения в сети интернет и информационных стендах учреждения</w:t>
            </w: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В соответствии со ст.29  ФЗ от 29.12.2012 № 273-ФЗ «Об образовании в Российской Федерации»</w:t>
            </w:r>
          </w:p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По мере изменения  данных, законодательства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 w:rsidP="004A0A90">
            <w:pPr>
              <w:pStyle w:val="217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Размещение информации  у входа в учреждение</w:t>
            </w:r>
          </w:p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Информация о наименовании  учреждения, о режиме работы, адресные данные</w:t>
            </w: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 w:rsidRPr="004A0A90">
              <w:rPr>
                <w:color w:val="000000"/>
                <w:sz w:val="20"/>
                <w:szCs w:val="20"/>
              </w:rPr>
              <w:t>По мере изменения  данных, законодательства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 w:rsidP="004A0A90">
            <w:pPr>
              <w:pStyle w:val="2332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iCs/>
                <w:sz w:val="20"/>
                <w:szCs w:val="20"/>
              </w:rPr>
              <w:t>Информирование при личном обращении</w:t>
            </w:r>
          </w:p>
          <w:p w:rsidR="00BD0E52" w:rsidRPr="004A0A90" w:rsidRDefault="00BD0E52" w:rsidP="004A0A90">
            <w:pPr>
              <w:pStyle w:val="217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обращения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 w:rsidP="004A0A90">
            <w:pPr>
              <w:pStyle w:val="217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iCs/>
                <w:sz w:val="20"/>
                <w:szCs w:val="20"/>
              </w:rPr>
              <w:t>Консультирование по телефону</w:t>
            </w: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обращения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 w:rsidP="004A0A90">
            <w:pPr>
              <w:pStyle w:val="217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iCs/>
                <w:sz w:val="20"/>
                <w:szCs w:val="20"/>
              </w:rPr>
              <w:t>Предоставление инф</w:t>
            </w:r>
            <w:r>
              <w:rPr>
                <w:iCs/>
                <w:sz w:val="20"/>
                <w:szCs w:val="20"/>
              </w:rPr>
              <w:t xml:space="preserve">ормации </w:t>
            </w:r>
            <w:r w:rsidRPr="004A0A90">
              <w:rPr>
                <w:iCs/>
                <w:sz w:val="20"/>
                <w:szCs w:val="20"/>
              </w:rPr>
              <w:t xml:space="preserve"> через </w:t>
            </w:r>
            <w:r>
              <w:rPr>
                <w:iCs/>
                <w:sz w:val="20"/>
                <w:szCs w:val="20"/>
              </w:rPr>
              <w:t xml:space="preserve"> СМИ</w:t>
            </w: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обращения</w:t>
            </w:r>
          </w:p>
        </w:tc>
      </w:tr>
      <w:tr w:rsidR="00BD0E52">
        <w:trPr>
          <w:gridBefore w:val="1"/>
          <w:wBefore w:w="62" w:type="dxa"/>
        </w:trPr>
        <w:tc>
          <w:tcPr>
            <w:tcW w:w="3748" w:type="dxa"/>
          </w:tcPr>
          <w:p w:rsidR="00BD0E52" w:rsidRPr="004A0A90" w:rsidRDefault="00BD0E52" w:rsidP="004A0A90">
            <w:pPr>
              <w:pStyle w:val="217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A0A90">
              <w:rPr>
                <w:iCs/>
                <w:sz w:val="20"/>
                <w:szCs w:val="20"/>
              </w:rPr>
              <w:t>Информирование на род</w:t>
            </w:r>
            <w:r>
              <w:rPr>
                <w:iCs/>
                <w:sz w:val="20"/>
                <w:szCs w:val="20"/>
              </w:rPr>
              <w:t xml:space="preserve">ительских </w:t>
            </w:r>
            <w:r w:rsidRPr="004A0A90">
              <w:rPr>
                <w:iCs/>
                <w:sz w:val="20"/>
                <w:szCs w:val="20"/>
              </w:rPr>
              <w:t>собраниях</w:t>
            </w:r>
          </w:p>
        </w:tc>
        <w:tc>
          <w:tcPr>
            <w:tcW w:w="6756" w:type="dxa"/>
          </w:tcPr>
          <w:p w:rsidR="00BD0E52" w:rsidRPr="004A0A90" w:rsidRDefault="00BD0E52" w:rsidP="004A0A90">
            <w:pPr>
              <w:pStyle w:val="227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8" w:type="dxa"/>
          </w:tcPr>
          <w:p w:rsidR="00BD0E52" w:rsidRPr="004A0A90" w:rsidRDefault="00BD0E5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обращения</w:t>
            </w:r>
          </w:p>
        </w:tc>
      </w:tr>
    </w:tbl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  </w:t>
      </w:r>
    </w:p>
    <w:p w:rsidR="00BD0E52" w:rsidRDefault="00BD0E52">
      <w:pPr>
        <w:widowControl w:val="0"/>
        <w:jc w:val="center"/>
        <w:rPr>
          <w:rFonts w:ascii="Courier New" w:hAnsi="Courier New"/>
          <w:b/>
          <w:sz w:val="20"/>
          <w:szCs w:val="20"/>
        </w:rPr>
      </w:pPr>
      <w:r>
        <w:rPr>
          <w:rFonts w:ascii="Courier New" w:hAnsi="Courier New"/>
          <w:b/>
          <w:sz w:val="20"/>
          <w:szCs w:val="20"/>
        </w:rPr>
        <w:t>Часть 3. Прочие сведения о муниципальном задании</w:t>
      </w:r>
    </w:p>
    <w:p w:rsidR="00BD0E52" w:rsidRDefault="00BD0E52">
      <w:pPr>
        <w:widowControl w:val="0"/>
        <w:jc w:val="center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 Основания  (условия  и  порядок)  для досрочного прекращения выполнения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муниципального задания </w:t>
      </w:r>
      <w:r w:rsidRPr="004A0A90">
        <w:rPr>
          <w:bCs/>
          <w:color w:val="000000"/>
          <w:sz w:val="20"/>
          <w:szCs w:val="20"/>
          <w:u w:val="single"/>
        </w:rPr>
        <w:t>реорганизация учреждения, ликвидация учреждения, смена собственника имущества</w:t>
      </w:r>
    </w:p>
    <w:p w:rsidR="00BD0E52" w:rsidRPr="00F6682C" w:rsidRDefault="00BD0E52">
      <w:pPr>
        <w:widowControl w:val="0"/>
        <w:jc w:val="both"/>
        <w:rPr>
          <w:sz w:val="20"/>
          <w:szCs w:val="20"/>
          <w:u w:val="single"/>
        </w:rPr>
      </w:pPr>
      <w:r>
        <w:rPr>
          <w:rFonts w:ascii="Courier New" w:hAnsi="Courier New"/>
          <w:sz w:val="20"/>
          <w:szCs w:val="20"/>
        </w:rPr>
        <w:t xml:space="preserve">2.  Иная  информация,  необходимая для выполнения (контроля за выполнением) муниципального задания </w:t>
      </w:r>
      <w:r w:rsidRPr="00F6682C">
        <w:rPr>
          <w:sz w:val="20"/>
          <w:szCs w:val="20"/>
          <w:u w:val="single"/>
        </w:rPr>
        <w:t>отчеты о выполнении муниципального задания размещаются на официальном сайте в информационно-телекоммуникационной сети Интернет для размещения информации о государственном и муниципальном учреждении (</w:t>
      </w:r>
      <w:hyperlink r:id="rId13" w:history="1">
        <w:r w:rsidRPr="00F6682C">
          <w:rPr>
            <w:rStyle w:val="Hyperlink"/>
            <w:sz w:val="20"/>
            <w:szCs w:val="20"/>
            <w:lang w:val="en-US"/>
          </w:rPr>
          <w:t>www</w:t>
        </w:r>
        <w:r w:rsidRPr="00F6682C">
          <w:rPr>
            <w:rStyle w:val="Hyperlink"/>
            <w:sz w:val="20"/>
            <w:szCs w:val="20"/>
          </w:rPr>
          <w:t>.</w:t>
        </w:r>
        <w:r w:rsidRPr="00F6682C">
          <w:rPr>
            <w:rStyle w:val="Hyperlink"/>
            <w:sz w:val="20"/>
            <w:szCs w:val="20"/>
            <w:lang w:val="en-US"/>
          </w:rPr>
          <w:t>bus</w:t>
        </w:r>
        <w:r w:rsidRPr="00F6682C">
          <w:rPr>
            <w:rStyle w:val="Hyperlink"/>
            <w:sz w:val="20"/>
            <w:szCs w:val="20"/>
          </w:rPr>
          <w:t>.</w:t>
        </w:r>
        <w:r w:rsidRPr="00F6682C">
          <w:rPr>
            <w:rStyle w:val="Hyperlink"/>
            <w:sz w:val="20"/>
            <w:szCs w:val="20"/>
            <w:lang w:val="en-US"/>
          </w:rPr>
          <w:t>gov</w:t>
        </w:r>
        <w:r w:rsidRPr="00F6682C">
          <w:rPr>
            <w:rStyle w:val="Hyperlink"/>
            <w:sz w:val="20"/>
            <w:szCs w:val="20"/>
          </w:rPr>
          <w:t>.</w:t>
        </w:r>
        <w:r w:rsidRPr="00F6682C">
          <w:rPr>
            <w:rStyle w:val="Hyperlink"/>
            <w:sz w:val="20"/>
            <w:szCs w:val="20"/>
            <w:lang w:val="en-US"/>
          </w:rPr>
          <w:t>ru</w:t>
        </w:r>
      </w:hyperlink>
      <w:r w:rsidRPr="00F6682C">
        <w:rPr>
          <w:sz w:val="20"/>
          <w:szCs w:val="20"/>
          <w:u w:val="single"/>
        </w:rPr>
        <w:t xml:space="preserve">) и на официальном сайте учреждения </w:t>
      </w:r>
      <w:hyperlink r:id="rId14" w:history="1">
        <w:r w:rsidRPr="00F6682C">
          <w:rPr>
            <w:rStyle w:val="Hyperlink"/>
            <w:sz w:val="20"/>
            <w:szCs w:val="20"/>
          </w:rPr>
          <w:t>https://raduga-dou.nubex.ru/</w:t>
        </w:r>
      </w:hyperlink>
      <w:r w:rsidRPr="00F6682C">
        <w:rPr>
          <w:sz w:val="20"/>
          <w:szCs w:val="20"/>
          <w:u w:val="single"/>
        </w:rPr>
        <w:t xml:space="preserve"> </w:t>
      </w:r>
    </w:p>
    <w:p w:rsidR="00BD0E52" w:rsidRDefault="00BD0E52">
      <w:pPr>
        <w:widowControl w:val="0"/>
        <w:jc w:val="both"/>
        <w:rPr>
          <w:sz w:val="22"/>
          <w:szCs w:val="22"/>
          <w:u w:val="single"/>
        </w:rPr>
      </w:pPr>
      <w:r>
        <w:rPr>
          <w:rStyle w:val="docdata"/>
          <w:color w:val="00000A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Финансовое обеспечение муниципального задания осуществляется на основании соглашения о порядке и условиях предоставления субсидии.</w:t>
      </w:r>
    </w:p>
    <w:tbl>
      <w:tblPr>
        <w:tblW w:w="0" w:type="auto"/>
        <w:tblLook w:val="0000"/>
      </w:tblPr>
      <w:tblGrid>
        <w:gridCol w:w="1809"/>
        <w:gridCol w:w="12879"/>
      </w:tblGrid>
      <w:tr w:rsidR="00BD0E52">
        <w:trPr>
          <w:trHeight w:val="668"/>
        </w:trPr>
        <w:tc>
          <w:tcPr>
            <w:tcW w:w="180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</w:rPr>
              <w:t>    в 20</w:t>
            </w:r>
            <w:r w:rsidRPr="00B62614">
              <w:rPr>
                <w:sz w:val="22"/>
                <w:szCs w:val="22"/>
                <w:u w:val="single"/>
              </w:rPr>
              <w:t>25</w:t>
            </w:r>
            <w:r w:rsidRPr="00B62614">
              <w:rPr>
                <w:sz w:val="22"/>
                <w:szCs w:val="22"/>
              </w:rPr>
              <w:t xml:space="preserve"> году </w:t>
            </w: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t> </w:t>
            </w:r>
          </w:p>
        </w:tc>
        <w:tc>
          <w:tcPr>
            <w:tcW w:w="1287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  <w:rPr>
                <w:u w:val="single"/>
              </w:rPr>
            </w:pP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  <w:u w:val="single"/>
              </w:rPr>
              <w:t>9 063 100,00</w:t>
            </w:r>
            <w:r>
              <w:rPr>
                <w:sz w:val="22"/>
                <w:szCs w:val="22"/>
              </w:rPr>
              <w:t xml:space="preserve"> (Д</w:t>
            </w:r>
            <w:r w:rsidRPr="00B62614">
              <w:rPr>
                <w:sz w:val="22"/>
                <w:szCs w:val="22"/>
              </w:rPr>
              <w:t>евять миллионов шестьдесят три тысячи сто) рублей 00 копеек - по коду БК 074 0701 0710900590 621 241 000;</w:t>
            </w:r>
          </w:p>
          <w:p w:rsidR="00BD0E52" w:rsidRPr="00B62614" w:rsidRDefault="00BD0E52" w:rsidP="00A677A8">
            <w:pPr>
              <w:widowControl w:val="0"/>
              <w:spacing w:line="360" w:lineRule="auto"/>
              <w:jc w:val="both"/>
            </w:pPr>
            <w:r>
              <w:rPr>
                <w:sz w:val="22"/>
                <w:szCs w:val="22"/>
                <w:u w:val="single"/>
              </w:rPr>
              <w:t>18 192 300</w:t>
            </w:r>
            <w:r w:rsidRPr="00B62614">
              <w:rPr>
                <w:sz w:val="22"/>
                <w:szCs w:val="22"/>
                <w:u w:val="single"/>
              </w:rPr>
              <w:t xml:space="preserve">,00 </w:t>
            </w:r>
            <w:r>
              <w:rPr>
                <w:sz w:val="22"/>
                <w:szCs w:val="22"/>
              </w:rPr>
              <w:t xml:space="preserve"> (В</w:t>
            </w:r>
            <w:r w:rsidRPr="00B62614">
              <w:rPr>
                <w:sz w:val="22"/>
                <w:szCs w:val="22"/>
              </w:rPr>
              <w:t xml:space="preserve">осемнадцать миллионов </w:t>
            </w:r>
            <w:r>
              <w:rPr>
                <w:sz w:val="22"/>
                <w:szCs w:val="22"/>
              </w:rPr>
              <w:t>сто девяносто две тысячи триста</w:t>
            </w:r>
            <w:r w:rsidRPr="00B62614">
              <w:rPr>
                <w:sz w:val="22"/>
                <w:szCs w:val="22"/>
              </w:rPr>
              <w:t>) рублей 00 копеек - по коду БК 074 0701 0710973070 621 241 320;</w:t>
            </w:r>
          </w:p>
        </w:tc>
      </w:tr>
      <w:tr w:rsidR="00BD0E52">
        <w:trPr>
          <w:trHeight w:val="744"/>
        </w:trPr>
        <w:tc>
          <w:tcPr>
            <w:tcW w:w="180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</w:rPr>
              <w:t>    в 20</w:t>
            </w:r>
            <w:r w:rsidRPr="00B62614">
              <w:rPr>
                <w:sz w:val="22"/>
                <w:szCs w:val="22"/>
                <w:u w:val="single"/>
              </w:rPr>
              <w:t>26</w:t>
            </w:r>
            <w:r w:rsidRPr="00B62614">
              <w:rPr>
                <w:sz w:val="22"/>
                <w:szCs w:val="22"/>
              </w:rPr>
              <w:t xml:space="preserve"> году </w:t>
            </w: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t> </w:t>
            </w:r>
          </w:p>
        </w:tc>
        <w:tc>
          <w:tcPr>
            <w:tcW w:w="1287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  <w:u w:val="single"/>
              </w:rPr>
              <w:t>9 063 100,00</w:t>
            </w:r>
            <w:r>
              <w:rPr>
                <w:sz w:val="22"/>
                <w:szCs w:val="22"/>
              </w:rPr>
              <w:t xml:space="preserve"> (Д</w:t>
            </w:r>
            <w:r w:rsidRPr="00B62614">
              <w:rPr>
                <w:sz w:val="22"/>
                <w:szCs w:val="22"/>
              </w:rPr>
              <w:t>евять миллионов шестьдесят три тысячи сто) рублей 00 копеек - по коду БК 074 0701 0710900590 621 241 000;</w:t>
            </w: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  <w:u w:val="single"/>
              </w:rPr>
              <w:t xml:space="preserve">18 717 400,00 </w:t>
            </w:r>
            <w:r>
              <w:rPr>
                <w:sz w:val="22"/>
                <w:szCs w:val="22"/>
              </w:rPr>
              <w:t xml:space="preserve"> (В</w:t>
            </w:r>
            <w:r w:rsidRPr="00B62614">
              <w:rPr>
                <w:sz w:val="22"/>
                <w:szCs w:val="22"/>
              </w:rPr>
              <w:t>осемнадцать миллионов сем</w:t>
            </w:r>
            <w:r>
              <w:rPr>
                <w:sz w:val="22"/>
                <w:szCs w:val="22"/>
              </w:rPr>
              <w:t>ь</w:t>
            </w:r>
            <w:r w:rsidRPr="00B62614">
              <w:rPr>
                <w:sz w:val="22"/>
                <w:szCs w:val="22"/>
              </w:rPr>
              <w:t>сот семнадцать тысяч четыреста) рублей 00 копеек - по коду БК 074 0701 0710973070 621 241 320;</w:t>
            </w:r>
          </w:p>
        </w:tc>
      </w:tr>
      <w:tr w:rsidR="00BD0E52">
        <w:trPr>
          <w:trHeight w:val="420"/>
        </w:trPr>
        <w:tc>
          <w:tcPr>
            <w:tcW w:w="180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</w:rPr>
              <w:t>    в 20</w:t>
            </w:r>
            <w:r w:rsidRPr="00B62614">
              <w:rPr>
                <w:sz w:val="22"/>
                <w:szCs w:val="22"/>
                <w:u w:val="single"/>
              </w:rPr>
              <w:t>27</w:t>
            </w:r>
            <w:r w:rsidRPr="00B62614">
              <w:rPr>
                <w:sz w:val="22"/>
                <w:szCs w:val="22"/>
              </w:rPr>
              <w:t xml:space="preserve"> году </w:t>
            </w: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t> </w:t>
            </w:r>
          </w:p>
        </w:tc>
        <w:tc>
          <w:tcPr>
            <w:tcW w:w="12879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  <w:vAlign w:val="center"/>
          </w:tcPr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  <w:u w:val="single"/>
              </w:rPr>
              <w:t>9 063 100,00</w:t>
            </w:r>
            <w:r>
              <w:rPr>
                <w:sz w:val="22"/>
                <w:szCs w:val="22"/>
              </w:rPr>
              <w:t xml:space="preserve"> (Д</w:t>
            </w:r>
            <w:r w:rsidRPr="00B62614">
              <w:rPr>
                <w:sz w:val="22"/>
                <w:szCs w:val="22"/>
              </w:rPr>
              <w:t>евять миллионов шестьдесят три тысячи сто) рублей 00 копеек - по коду БК 074 0701 0710900590 621 241 000;</w:t>
            </w:r>
          </w:p>
          <w:p w:rsidR="00BD0E52" w:rsidRPr="00B62614" w:rsidRDefault="00BD0E52">
            <w:pPr>
              <w:widowControl w:val="0"/>
              <w:spacing w:line="360" w:lineRule="auto"/>
              <w:jc w:val="both"/>
            </w:pPr>
            <w:r w:rsidRPr="00B62614">
              <w:rPr>
                <w:sz w:val="22"/>
                <w:szCs w:val="22"/>
                <w:u w:val="single"/>
              </w:rPr>
              <w:t xml:space="preserve">18 717 400,00 </w:t>
            </w:r>
            <w:r>
              <w:rPr>
                <w:sz w:val="22"/>
                <w:szCs w:val="22"/>
              </w:rPr>
              <w:t xml:space="preserve"> (В</w:t>
            </w:r>
            <w:r w:rsidRPr="00B62614">
              <w:rPr>
                <w:sz w:val="22"/>
                <w:szCs w:val="22"/>
              </w:rPr>
              <w:t>осемнадцать миллионов сем</w:t>
            </w:r>
            <w:r>
              <w:rPr>
                <w:sz w:val="22"/>
                <w:szCs w:val="22"/>
              </w:rPr>
              <w:t>ь</w:t>
            </w:r>
            <w:r w:rsidRPr="00B62614">
              <w:rPr>
                <w:sz w:val="22"/>
                <w:szCs w:val="22"/>
              </w:rPr>
              <w:t>сот семнадцать тысяч четыреста) рублей 00 копеек - по коду БК 074 0701 0710973070 621 241 320;</w:t>
            </w:r>
          </w:p>
        </w:tc>
      </w:tr>
    </w:tbl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3. Порядок контроля за выполнением муниципального задания</w:t>
      </w:r>
    </w:p>
    <w:p w:rsidR="00BD0E52" w:rsidRDefault="00BD0E52">
      <w:pPr>
        <w:widowControl w:val="0"/>
        <w:jc w:val="both"/>
        <w:rPr>
          <w:rFonts w:ascii="Calibri" w:hAnsi="Calibri"/>
          <w:sz w:val="22"/>
          <w:szCs w:val="20"/>
        </w:rPr>
      </w:pPr>
    </w:p>
    <w:tbl>
      <w:tblPr>
        <w:tblW w:w="1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402"/>
        <w:gridCol w:w="5940"/>
        <w:gridCol w:w="6480"/>
      </w:tblGrid>
      <w:tr w:rsidR="00BD0E52">
        <w:trPr>
          <w:trHeight w:val="1056"/>
        </w:trPr>
        <w:tc>
          <w:tcPr>
            <w:tcW w:w="2402" w:type="dxa"/>
          </w:tcPr>
          <w:p w:rsidR="00BD0E52" w:rsidRDefault="00BD0E52">
            <w:pPr>
              <w:widowControl w:val="0"/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Форма контроля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Периодичность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 xml:space="preserve">Структурные подразделения администрации Бутурлинского муниципального округа осуществляющие контроль за выполнением </w:t>
            </w:r>
          </w:p>
          <w:p w:rsidR="00BD0E52" w:rsidRDefault="00BD0E52">
            <w:pPr>
              <w:widowControl w:val="0"/>
              <w:jc w:val="center"/>
              <w:rPr>
                <w:rFonts w:ascii="Courier New" w:hAnsi="Courier New"/>
                <w:sz w:val="20"/>
                <w:szCs w:val="20"/>
              </w:rPr>
            </w:pPr>
            <w:r>
              <w:rPr>
                <w:rFonts w:ascii="Courier New" w:hAnsi="Courier New"/>
                <w:sz w:val="20"/>
                <w:szCs w:val="20"/>
              </w:rPr>
              <w:t>муниципального задания</w:t>
            </w:r>
          </w:p>
        </w:tc>
      </w:tr>
      <w:tr w:rsidR="00BD0E52">
        <w:tc>
          <w:tcPr>
            <w:tcW w:w="2402" w:type="dxa"/>
          </w:tcPr>
          <w:p w:rsidR="00BD0E52" w:rsidRDefault="00BD0E52" w:rsidP="00436BCC">
            <w:pPr>
              <w:widowControl w:val="0"/>
              <w:tabs>
                <w:tab w:val="center" w:pos="1139"/>
                <w:tab w:val="right" w:pos="2278"/>
              </w:tabs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ab/>
              <w:t>1</w:t>
            </w:r>
            <w:r>
              <w:rPr>
                <w:rFonts w:ascii="Calibri" w:hAnsi="Calibri"/>
                <w:sz w:val="22"/>
                <w:szCs w:val="20"/>
              </w:rPr>
              <w:tab/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2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3</w:t>
            </w:r>
          </w:p>
        </w:tc>
      </w:tr>
      <w:tr w:rsidR="00BD0E52" w:rsidTr="00436BCC">
        <w:trPr>
          <w:trHeight w:val="540"/>
        </w:trPr>
        <w:tc>
          <w:tcPr>
            <w:tcW w:w="2402" w:type="dxa"/>
          </w:tcPr>
          <w:p w:rsidR="00BD0E52" w:rsidRPr="00436BCC" w:rsidRDefault="00BD0E52" w:rsidP="00436BCC">
            <w:pPr>
              <w:widowControl w:val="0"/>
              <w:tabs>
                <w:tab w:val="center" w:pos="1139"/>
                <w:tab w:val="right" w:pos="2278"/>
              </w:tabs>
              <w:rPr>
                <w:sz w:val="20"/>
                <w:szCs w:val="20"/>
              </w:rPr>
            </w:pPr>
            <w:r w:rsidRPr="00436BCC">
              <w:rPr>
                <w:sz w:val="20"/>
                <w:szCs w:val="20"/>
              </w:rPr>
              <w:t>Внеплановая проверка</w:t>
            </w:r>
          </w:p>
        </w:tc>
        <w:tc>
          <w:tcPr>
            <w:tcW w:w="5940" w:type="dxa"/>
          </w:tcPr>
          <w:p w:rsidR="00BD0E52" w:rsidRPr="00436BCC" w:rsidRDefault="00BD0E52" w:rsidP="00436BCC">
            <w:pPr>
              <w:widowControl w:val="0"/>
              <w:rPr>
                <w:sz w:val="20"/>
                <w:szCs w:val="20"/>
              </w:rPr>
            </w:pPr>
            <w:r w:rsidRPr="00436BCC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6480" w:type="dxa"/>
          </w:tcPr>
          <w:p w:rsidR="00BD0E52" w:rsidRPr="00436BCC" w:rsidRDefault="00BD0E52" w:rsidP="00436BC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Мониторинг 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планом- графиком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 w:rsidP="00436BCC">
            <w:pPr>
              <w:spacing w:before="100" w:beforeAutospacing="1" w:after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планом- графиком, но не реже 1раза в год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 w:rsidP="00436BCC">
            <w:pPr>
              <w:spacing w:before="100" w:beforeAutospacing="1" w:after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Предварительный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1 раз в год на стадии формирования и утверждения муниципального задания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исполнения муниципального задания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1 раз в год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Промежуточный контроль выполнения муниципального задания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итогам 1-3 кварталов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  <w:tr w:rsidR="00BD0E52">
        <w:tc>
          <w:tcPr>
            <w:tcW w:w="2402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контроль выполнения муниципального задания</w:t>
            </w:r>
          </w:p>
        </w:tc>
        <w:tc>
          <w:tcPr>
            <w:tcW w:w="594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 по итогам года</w:t>
            </w:r>
          </w:p>
        </w:tc>
        <w:tc>
          <w:tcPr>
            <w:tcW w:w="6480" w:type="dxa"/>
          </w:tcPr>
          <w:p w:rsidR="00BD0E52" w:rsidRDefault="00BD0E5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и  спорта администрации Бутурлинского муниципального округа Нижегородской области</w:t>
            </w:r>
          </w:p>
        </w:tc>
      </w:tr>
    </w:tbl>
    <w:p w:rsidR="00BD0E52" w:rsidRDefault="00BD0E52">
      <w:pPr>
        <w:widowControl w:val="0"/>
        <w:jc w:val="both"/>
        <w:rPr>
          <w:rFonts w:ascii="Calibri" w:hAnsi="Calibri"/>
          <w:sz w:val="20"/>
          <w:szCs w:val="20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4.   Требования   к   отчетности   о  выполнении  муниципального  задания</w:t>
      </w:r>
    </w:p>
    <w:p w:rsidR="00BD0E52" w:rsidRDefault="00BD0E52">
      <w:pPr>
        <w:widowControl w:val="0"/>
        <w:jc w:val="both"/>
        <w:rPr>
          <w:rFonts w:ascii="Courier New" w:hAnsi="Courier New"/>
          <w:sz w:val="22"/>
          <w:szCs w:val="22"/>
        </w:rPr>
      </w:pP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4.1.  Периодичность  представления  отчетов  о  выполнении муниципального задания </w:t>
      </w:r>
      <w:r>
        <w:rPr>
          <w:rFonts w:ascii="Courier New" w:hAnsi="Courier New"/>
          <w:sz w:val="20"/>
          <w:szCs w:val="20"/>
          <w:u w:val="single"/>
        </w:rPr>
        <w:t>ежеквартально, годовой отчет – не позднее 1 февраля финансового года, следующего за отчетным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  <w:u w:val="single"/>
        </w:rPr>
      </w:pPr>
      <w:r>
        <w:rPr>
          <w:rFonts w:ascii="Courier New" w:hAnsi="Courier New"/>
          <w:sz w:val="20"/>
          <w:szCs w:val="20"/>
        </w:rPr>
        <w:t xml:space="preserve">4.2.  Сроки  представления  отчетов  о  выполнении муниципального задания </w:t>
      </w:r>
      <w:r>
        <w:rPr>
          <w:rFonts w:ascii="Courier New" w:hAnsi="Courier New"/>
          <w:sz w:val="20"/>
          <w:szCs w:val="20"/>
          <w:u w:val="single"/>
        </w:rPr>
        <w:t>до 10 числа месяца, следующего за отчетным периодом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4.2.1.   Сроки   представления   предварительного   отчета   о   выполнении муниципального задания </w:t>
      </w:r>
      <w:r>
        <w:rPr>
          <w:rFonts w:ascii="Courier New" w:hAnsi="Courier New"/>
          <w:sz w:val="20"/>
          <w:szCs w:val="20"/>
          <w:u w:val="single"/>
        </w:rPr>
        <w:t xml:space="preserve">до 10 декабря </w:t>
      </w:r>
    </w:p>
    <w:p w:rsidR="00BD0E52" w:rsidRPr="00436BCC" w:rsidRDefault="00BD0E52">
      <w:pPr>
        <w:widowControl w:val="0"/>
        <w:jc w:val="both"/>
        <w:rPr>
          <w:rFonts w:ascii="Courier New" w:hAnsi="Courier New"/>
          <w:sz w:val="20"/>
          <w:szCs w:val="20"/>
          <w:u w:val="single"/>
        </w:rPr>
      </w:pPr>
      <w:r>
        <w:rPr>
          <w:rFonts w:ascii="Courier New" w:hAnsi="Courier New"/>
          <w:sz w:val="20"/>
          <w:szCs w:val="20"/>
        </w:rPr>
        <w:t xml:space="preserve">4.3.  Иные  требования  к  отчетности о выполнении муниципального задания </w:t>
      </w:r>
      <w:r w:rsidRPr="00436BCC">
        <w:rPr>
          <w:rFonts w:ascii="Courier New" w:hAnsi="Courier New"/>
          <w:sz w:val="20"/>
          <w:szCs w:val="20"/>
          <w:u w:val="single"/>
        </w:rPr>
        <w:t>полнота, достоверность и своевременность предоставления отчетности</w:t>
      </w:r>
      <w:r>
        <w:rPr>
          <w:rFonts w:ascii="Courier New" w:hAnsi="Courier New"/>
          <w:sz w:val="20"/>
          <w:szCs w:val="20"/>
          <w:u w:val="single"/>
        </w:rPr>
        <w:t>. В случае невыполнения (выполнения не в полном объеме) муниципального задания к отчету должна прилагаться пояснительная записка с указанием причин невыполнения муниципального задания</w:t>
      </w:r>
    </w:p>
    <w:p w:rsidR="00BD0E52" w:rsidRDefault="00BD0E52">
      <w:pPr>
        <w:widowControl w:val="0"/>
        <w:jc w:val="both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5.  Иные  показатели, связанные с выполнением муниципального задания </w:t>
      </w:r>
      <w:hyperlink w:anchor="P540" w:history="1">
        <w:r>
          <w:rPr>
            <w:rFonts w:ascii="Courier New" w:hAnsi="Courier New"/>
            <w:sz w:val="20"/>
            <w:szCs w:val="20"/>
          </w:rPr>
          <w:t>&lt;10&gt;</w:t>
        </w:r>
      </w:hyperlink>
      <w:r>
        <w:rPr>
          <w:rFonts w:ascii="Courier New" w:hAnsi="Courier New"/>
          <w:sz w:val="20"/>
          <w:szCs w:val="20"/>
        </w:rPr>
        <w:t xml:space="preserve"> </w:t>
      </w:r>
      <w:r w:rsidRPr="00436BCC">
        <w:rPr>
          <w:rFonts w:ascii="Courier New" w:hAnsi="Courier New"/>
          <w:sz w:val="20"/>
          <w:szCs w:val="20"/>
          <w:u w:val="single"/>
        </w:rPr>
        <w:t>отсутствуют</w:t>
      </w:r>
    </w:p>
    <w:sectPr w:rsidR="00BD0E52" w:rsidSect="0029184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610D"/>
    <w:multiLevelType w:val="multilevel"/>
    <w:tmpl w:val="E87A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A5DE6"/>
    <w:multiLevelType w:val="hybridMultilevel"/>
    <w:tmpl w:val="FFFFFFFF"/>
    <w:lvl w:ilvl="0" w:tplc="02D895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06A8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BE5A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8D27F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3874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BA0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FBE7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B6A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105A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D80DE0"/>
    <w:multiLevelType w:val="hybridMultilevel"/>
    <w:tmpl w:val="FFFFFFFF"/>
    <w:lvl w:ilvl="0" w:tplc="EDB280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808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B03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68C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7ECC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BE15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9443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C0D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843"/>
    <w:rsid w:val="000537C0"/>
    <w:rsid w:val="000D32AE"/>
    <w:rsid w:val="001716D7"/>
    <w:rsid w:val="00201FC1"/>
    <w:rsid w:val="00291843"/>
    <w:rsid w:val="002F4FAF"/>
    <w:rsid w:val="00330F01"/>
    <w:rsid w:val="00347469"/>
    <w:rsid w:val="003F1A5F"/>
    <w:rsid w:val="00436BCC"/>
    <w:rsid w:val="00447B23"/>
    <w:rsid w:val="00457916"/>
    <w:rsid w:val="00461873"/>
    <w:rsid w:val="004A0A90"/>
    <w:rsid w:val="004C6631"/>
    <w:rsid w:val="004E2AFB"/>
    <w:rsid w:val="00550891"/>
    <w:rsid w:val="005E7A63"/>
    <w:rsid w:val="005F445F"/>
    <w:rsid w:val="00606C0F"/>
    <w:rsid w:val="00696A94"/>
    <w:rsid w:val="006E54BC"/>
    <w:rsid w:val="00756965"/>
    <w:rsid w:val="007852D4"/>
    <w:rsid w:val="00892ACE"/>
    <w:rsid w:val="0090520E"/>
    <w:rsid w:val="00A677A8"/>
    <w:rsid w:val="00A76D1C"/>
    <w:rsid w:val="00B04C13"/>
    <w:rsid w:val="00B27A83"/>
    <w:rsid w:val="00B62614"/>
    <w:rsid w:val="00B80D30"/>
    <w:rsid w:val="00B87B62"/>
    <w:rsid w:val="00BD0E52"/>
    <w:rsid w:val="00BE11C3"/>
    <w:rsid w:val="00C052FA"/>
    <w:rsid w:val="00C67845"/>
    <w:rsid w:val="00D84A07"/>
    <w:rsid w:val="00D95AFD"/>
    <w:rsid w:val="00E220DF"/>
    <w:rsid w:val="00F6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84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">
    <w:name w:val="Стиль5"/>
    <w:basedOn w:val="NormalWeb"/>
    <w:uiPriority w:val="99"/>
    <w:rsid w:val="00291843"/>
    <w:pPr>
      <w:spacing w:beforeAutospacing="1" w:afterAutospacing="1"/>
      <w:jc w:val="both"/>
    </w:pPr>
  </w:style>
  <w:style w:type="paragraph" w:styleId="NormalWeb">
    <w:name w:val="Normal (Web)"/>
    <w:basedOn w:val="Normal"/>
    <w:uiPriority w:val="99"/>
    <w:rsid w:val="00291843"/>
  </w:style>
  <w:style w:type="character" w:customStyle="1" w:styleId="docdata">
    <w:name w:val="docdata"/>
    <w:aliases w:val="docy,v5,2322,bqiaagaaeyqcaaagiaiaaamhbqaabs8f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locked/>
    <w:rsid w:val="00291843"/>
    <w:rPr>
      <w:rFonts w:cs="Times New Roman"/>
    </w:rPr>
  </w:style>
  <w:style w:type="paragraph" w:customStyle="1" w:styleId="2270">
    <w:name w:val="2270"/>
    <w:aliases w:val="bqiaagaaeyqcaaagiaiaaamwbqaabsqf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A0A90"/>
    <w:pPr>
      <w:spacing w:before="100" w:beforeAutospacing="1" w:after="100" w:afterAutospacing="1"/>
    </w:pPr>
  </w:style>
  <w:style w:type="paragraph" w:customStyle="1" w:styleId="2176">
    <w:name w:val="2176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A0A90"/>
    <w:pPr>
      <w:spacing w:before="100" w:beforeAutospacing="1" w:after="100" w:afterAutospacing="1"/>
    </w:pPr>
  </w:style>
  <w:style w:type="paragraph" w:customStyle="1" w:styleId="2332">
    <w:name w:val="2332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4A0A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D84A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7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4136B9EE660C47C0A89A29F655CF6A56566B8D7E5C44B6544762A96qBh2N" TargetMode="External"/><Relationship Id="rId13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54136B9EE660C47C0A89A29F655CF6A56566B8D7E5C44B6544762A96qBh2N" TargetMode="External"/><Relationship Id="rId12" Type="http://schemas.openxmlformats.org/officeDocument/2006/relationships/hyperlink" Target="consultantplus://offline/ref=0E54136B9EE660C47C0A89A29F655CF6A5656BB0D1E1C44B6544762A96qBh2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E54136B9EE660C47C0A89A29F655CF6A56566B8D7E5C44B6544762A96qBh2N" TargetMode="External"/><Relationship Id="rId11" Type="http://schemas.openxmlformats.org/officeDocument/2006/relationships/hyperlink" Target="consultantplus://offline/ref=0E54136B9EE660C47C0A89A29F655CF6A5656BB0D1E1C44B6544762A96qBh2N" TargetMode="External"/><Relationship Id="rId5" Type="http://schemas.openxmlformats.org/officeDocument/2006/relationships/hyperlink" Target="consultantplus://offline/ref=0E54136B9EE660C47C0A89A29F655CF6A56566B8D6E7C44B6544762A96B2D690273FA30412D7DC63qFhC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E54136B9EE660C47C0A89A29F655CF6A5656BB0D1E1C44B6544762A96qB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4136B9EE660C47C0A89A29F655CF6A5656BB0D1E1C44B6544762A96qBh2N" TargetMode="External"/><Relationship Id="rId14" Type="http://schemas.openxmlformats.org/officeDocument/2006/relationships/hyperlink" Target="https://raduga-dou.nubex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11</Pages>
  <Words>3485</Words>
  <Characters>19867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</cp:revision>
  <cp:lastPrinted>2024-12-25T08:13:00Z</cp:lastPrinted>
  <dcterms:created xsi:type="dcterms:W3CDTF">2024-09-30T07:40:00Z</dcterms:created>
  <dcterms:modified xsi:type="dcterms:W3CDTF">2025-02-03T12:17:00Z</dcterms:modified>
</cp:coreProperties>
</file>