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6" w:type="dxa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2620"/>
        <w:gridCol w:w="8226"/>
      </w:tblGrid>
      <w:tr w:rsidR="006040EC" w:rsidRPr="006B224A" w:rsidTr="00F41894">
        <w:trPr>
          <w:trHeight w:val="2568"/>
        </w:trPr>
        <w:tc>
          <w:tcPr>
            <w:tcW w:w="2620" w:type="dxa"/>
            <w:shd w:val="clear" w:color="auto" w:fill="auto"/>
          </w:tcPr>
          <w:p w:rsidR="006040EC" w:rsidRPr="002D7D38" w:rsidRDefault="006040EC" w:rsidP="007B34DD">
            <w:pPr>
              <w:jc w:val="both"/>
              <w:rPr>
                <w:rFonts w:eastAsia="Calibri"/>
                <w:color w:val="FF0000"/>
                <w:sz w:val="2"/>
                <w:szCs w:val="2"/>
              </w:rPr>
            </w:pPr>
            <w:r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93F4C22" wp14:editId="0C58A3E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6" w:type="dxa"/>
            <w:shd w:val="clear" w:color="auto" w:fill="auto"/>
            <w:vAlign w:val="center"/>
          </w:tcPr>
          <w:p w:rsidR="006040EC" w:rsidRPr="006E7682" w:rsidRDefault="006040EC" w:rsidP="0090220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</w:rPr>
            </w:pPr>
            <w:r w:rsidRPr="006E7682">
              <w:rPr>
                <w:rFonts w:ascii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</w:rPr>
              <w:t>ПАМЯТКА</w:t>
            </w:r>
          </w:p>
          <w:p w:rsidR="006040EC" w:rsidRPr="009846D6" w:rsidRDefault="006040EC" w:rsidP="00902202">
            <w:pPr>
              <w:spacing w:after="0" w:line="240" w:lineRule="auto"/>
              <w:jc w:val="center"/>
              <w:outlineLvl w:val="0"/>
              <w:rPr>
                <w:rFonts w:ascii="Calibri" w:eastAsia="Calibri" w:hAnsi="Calibri"/>
                <w:b/>
                <w:color w:val="FF0000"/>
                <w:sz w:val="48"/>
                <w:szCs w:val="48"/>
              </w:rPr>
            </w:pPr>
            <w:r w:rsidRPr="006E7682"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  <w:t xml:space="preserve">населению о </w:t>
            </w:r>
            <w:r w:rsidR="00F41894"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  <w:t>назначении и порядке применения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  <w:t xml:space="preserve"> ИПП-11</w:t>
            </w:r>
          </w:p>
        </w:tc>
      </w:tr>
    </w:tbl>
    <w:p w:rsidR="004D138B" w:rsidRDefault="004D138B" w:rsidP="00CD7B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F8E">
        <w:rPr>
          <w:rFonts w:ascii="Times New Roman" w:hAnsi="Times New Roman" w:cs="Times New Roman"/>
          <w:b/>
          <w:color w:val="000000"/>
          <w:sz w:val="28"/>
          <w:szCs w:val="28"/>
        </w:rPr>
        <w:t>Волгоград - город первой степени химической опасности</w:t>
      </w:r>
      <w:r w:rsidRPr="00110F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138B" w:rsidRDefault="004D138B" w:rsidP="001D7C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F8E">
        <w:rPr>
          <w:rFonts w:ascii="Times New Roman" w:hAnsi="Times New Roman" w:cs="Times New Roman"/>
          <w:color w:val="000000"/>
          <w:sz w:val="28"/>
          <w:szCs w:val="28"/>
        </w:rPr>
        <w:t xml:space="preserve">Имеющиеся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110F8E">
        <w:rPr>
          <w:rFonts w:ascii="Times New Roman" w:hAnsi="Times New Roman" w:cs="Times New Roman"/>
          <w:color w:val="000000"/>
          <w:sz w:val="28"/>
          <w:szCs w:val="28"/>
        </w:rPr>
        <w:t xml:space="preserve"> химически опасных объектов экон</w:t>
      </w:r>
      <w:r w:rsidR="00817BEB">
        <w:rPr>
          <w:rFonts w:ascii="Times New Roman" w:hAnsi="Times New Roman" w:cs="Times New Roman"/>
          <w:color w:val="000000"/>
          <w:sz w:val="28"/>
          <w:szCs w:val="28"/>
        </w:rPr>
        <w:t xml:space="preserve">омики располагают запасами </w:t>
      </w:r>
      <w:proofErr w:type="spellStart"/>
      <w:r w:rsidR="00817BEB">
        <w:rPr>
          <w:rFonts w:ascii="Times New Roman" w:hAnsi="Times New Roman" w:cs="Times New Roman"/>
          <w:color w:val="000000"/>
          <w:sz w:val="28"/>
          <w:szCs w:val="28"/>
        </w:rPr>
        <w:t>аварийно</w:t>
      </w:r>
      <w:proofErr w:type="spellEnd"/>
      <w:r w:rsidR="00817BEB">
        <w:rPr>
          <w:rFonts w:ascii="Times New Roman" w:hAnsi="Times New Roman" w:cs="Times New Roman"/>
          <w:color w:val="000000"/>
          <w:sz w:val="28"/>
          <w:szCs w:val="28"/>
        </w:rPr>
        <w:t xml:space="preserve"> химически опасными веществами (АХОВ)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10F8E">
        <w:rPr>
          <w:rFonts w:ascii="Times New Roman" w:hAnsi="Times New Roman" w:cs="Times New Roman"/>
          <w:color w:val="000000"/>
          <w:sz w:val="28"/>
          <w:szCs w:val="28"/>
        </w:rPr>
        <w:t>Большое количеств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о потенциально опасных объектов</w:t>
      </w:r>
      <w:r w:rsidRPr="00110F8E">
        <w:rPr>
          <w:rFonts w:ascii="Times New Roman" w:hAnsi="Times New Roman" w:cs="Times New Roman"/>
          <w:color w:val="000000"/>
          <w:sz w:val="28"/>
          <w:szCs w:val="28"/>
        </w:rPr>
        <w:t xml:space="preserve"> создает реальную угрозу возникновения чрезвычайных </w:t>
      </w:r>
      <w:r w:rsidR="00817BEB">
        <w:rPr>
          <w:rFonts w:ascii="Times New Roman" w:hAnsi="Times New Roman" w:cs="Times New Roman"/>
          <w:color w:val="000000"/>
          <w:sz w:val="28"/>
          <w:szCs w:val="28"/>
        </w:rPr>
        <w:t>ситуаций техногенного характера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2202">
        <w:rPr>
          <w:rFonts w:ascii="Times New Roman" w:hAnsi="Times New Roman" w:cs="Times New Roman"/>
          <w:color w:val="000000"/>
          <w:sz w:val="28"/>
          <w:szCs w:val="28"/>
        </w:rPr>
        <w:t>в случае возникновения аварий</w:t>
      </w:r>
      <w:r w:rsidR="00817BEB">
        <w:rPr>
          <w:rFonts w:ascii="Times New Roman" w:hAnsi="Times New Roman" w:cs="Times New Roman"/>
          <w:color w:val="000000"/>
          <w:sz w:val="28"/>
          <w:szCs w:val="28"/>
        </w:rPr>
        <w:t>, связанных</w:t>
      </w:r>
      <w:r w:rsidR="00817BEB" w:rsidRPr="00110F8E">
        <w:rPr>
          <w:rFonts w:ascii="Times New Roman" w:hAnsi="Times New Roman" w:cs="Times New Roman"/>
          <w:color w:val="000000"/>
          <w:sz w:val="28"/>
          <w:szCs w:val="28"/>
        </w:rPr>
        <w:t xml:space="preserve"> с выбросом АХОВ при их производстве, хранении и транспортировке</w:t>
      </w:r>
      <w:r w:rsidR="00817B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4334" w:rsidRDefault="00484334" w:rsidP="00CD7BD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84334" w:rsidRPr="00902202" w:rsidRDefault="00484334" w:rsidP="009022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20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86EA7" w:rsidRPr="00902202">
        <w:rPr>
          <w:rFonts w:ascii="Times New Roman" w:hAnsi="Times New Roman" w:cs="Times New Roman"/>
          <w:color w:val="000000"/>
          <w:sz w:val="28"/>
          <w:szCs w:val="28"/>
        </w:rPr>
        <w:t>ля первой доврачебной помощи при ранах, ожогах, необширных поражениях кожных покровов, сквозных ранениях</w:t>
      </w:r>
      <w:r w:rsidR="00220F52" w:rsidRPr="009022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86EA7" w:rsidRPr="00902202">
        <w:rPr>
          <w:rFonts w:ascii="Times New Roman" w:hAnsi="Times New Roman" w:cs="Times New Roman"/>
          <w:color w:val="000000"/>
          <w:sz w:val="28"/>
          <w:szCs w:val="28"/>
        </w:rPr>
        <w:t xml:space="preserve"> некоторых видов кровотечения, так же </w:t>
      </w:r>
      <w:r w:rsidR="009E7430" w:rsidRPr="00902202">
        <w:rPr>
          <w:rFonts w:ascii="Times New Roman" w:hAnsi="Times New Roman" w:cs="Times New Roman"/>
          <w:color w:val="000000"/>
          <w:sz w:val="28"/>
          <w:szCs w:val="28"/>
        </w:rPr>
        <w:t xml:space="preserve">для защиты и дегазации открытых участков кожи человека от </w:t>
      </w:r>
      <w:proofErr w:type="spellStart"/>
      <w:r w:rsidR="009E7430" w:rsidRPr="00902202">
        <w:rPr>
          <w:rFonts w:ascii="Times New Roman" w:hAnsi="Times New Roman" w:cs="Times New Roman"/>
          <w:color w:val="000000"/>
          <w:sz w:val="28"/>
          <w:szCs w:val="28"/>
        </w:rPr>
        <w:t>фосфо</w:t>
      </w:r>
      <w:r w:rsidRPr="00902202">
        <w:rPr>
          <w:rFonts w:ascii="Times New Roman" w:hAnsi="Times New Roman" w:cs="Times New Roman"/>
          <w:color w:val="000000"/>
          <w:sz w:val="28"/>
          <w:szCs w:val="28"/>
        </w:rPr>
        <w:t>роорганических</w:t>
      </w:r>
      <w:proofErr w:type="spellEnd"/>
      <w:r w:rsidRPr="00902202">
        <w:rPr>
          <w:rFonts w:ascii="Times New Roman" w:hAnsi="Times New Roman" w:cs="Times New Roman"/>
          <w:color w:val="000000"/>
          <w:sz w:val="28"/>
          <w:szCs w:val="28"/>
        </w:rPr>
        <w:t xml:space="preserve"> ядовитых веществ применяетс</w:t>
      </w:r>
      <w:proofErr w:type="gramStart"/>
      <w:r w:rsidRPr="0090220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20F52" w:rsidRPr="0090220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220F52" w:rsidRPr="00902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202">
        <w:rPr>
          <w:rFonts w:ascii="Times New Roman" w:hAnsi="Times New Roman" w:cs="Times New Roman"/>
          <w:color w:val="000000"/>
          <w:sz w:val="28"/>
          <w:szCs w:val="28"/>
        </w:rPr>
        <w:t>Индивидуальный</w:t>
      </w:r>
      <w:r w:rsidR="00220F52" w:rsidRPr="00902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202">
        <w:rPr>
          <w:rFonts w:ascii="Times New Roman" w:hAnsi="Times New Roman" w:cs="Times New Roman"/>
          <w:color w:val="000000"/>
          <w:sz w:val="28"/>
          <w:szCs w:val="28"/>
        </w:rPr>
        <w:t>противохимический пакет.</w:t>
      </w:r>
    </w:p>
    <w:p w:rsidR="00220F52" w:rsidRDefault="00220F52" w:rsidP="00CD7BDE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E7430" w:rsidRPr="00793621" w:rsidRDefault="00220F52" w:rsidP="00CD7BD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93621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EA5E90D" wp14:editId="0DEA5923">
            <wp:simplePos x="0" y="0"/>
            <wp:positionH relativeFrom="margin">
              <wp:posOffset>4200525</wp:posOffset>
            </wp:positionH>
            <wp:positionV relativeFrom="margin">
              <wp:posOffset>4162425</wp:posOffset>
            </wp:positionV>
            <wp:extent cx="2438400" cy="2247900"/>
            <wp:effectExtent l="0" t="0" r="0" b="0"/>
            <wp:wrapSquare wrapText="bothSides"/>
            <wp:docPr id="13" name="Рисунок 13" descr="C:\Users\lv-shirshikova\Desktop\п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v-shirshikova\Desktop\паке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4334" w:rsidRPr="00793621">
        <w:rPr>
          <w:b/>
          <w:bCs/>
          <w:sz w:val="28"/>
          <w:szCs w:val="28"/>
        </w:rPr>
        <w:t>ИПП-11</w:t>
      </w:r>
      <w:r w:rsidR="00484334" w:rsidRPr="00793621">
        <w:rPr>
          <w:sz w:val="28"/>
          <w:szCs w:val="28"/>
        </w:rPr>
        <w:t xml:space="preserve"> </w:t>
      </w:r>
      <w:r w:rsidR="00484334">
        <w:rPr>
          <w:sz w:val="28"/>
          <w:szCs w:val="28"/>
        </w:rPr>
        <w:t>- я</w:t>
      </w:r>
      <w:r w:rsidR="009E7430" w:rsidRPr="00793621">
        <w:rPr>
          <w:sz w:val="28"/>
          <w:szCs w:val="28"/>
        </w:rPr>
        <w:t>вляется изделием одноразового использования в интервалах температур от –20</w:t>
      </w:r>
      <w:proofErr w:type="gramStart"/>
      <w:r w:rsidR="009E7430" w:rsidRPr="00793621">
        <w:rPr>
          <w:sz w:val="28"/>
          <w:szCs w:val="28"/>
        </w:rPr>
        <w:t xml:space="preserve"> С</w:t>
      </w:r>
      <w:proofErr w:type="gramEnd"/>
      <w:r w:rsidR="009E7430" w:rsidRPr="00793621">
        <w:rPr>
          <w:sz w:val="28"/>
          <w:szCs w:val="28"/>
        </w:rPr>
        <w:t xml:space="preserve"> до +40 С. ИПП представляет собой герметично заваренную оболочку из полимерного материала с вложенными в нее тампонами из </w:t>
      </w:r>
      <w:proofErr w:type="spellStart"/>
      <w:r w:rsidR="009E7430" w:rsidRPr="00793621">
        <w:rPr>
          <w:sz w:val="28"/>
          <w:szCs w:val="28"/>
        </w:rPr>
        <w:t>нетканного</w:t>
      </w:r>
      <w:proofErr w:type="spellEnd"/>
      <w:r w:rsidR="009E7430" w:rsidRPr="00793621">
        <w:rPr>
          <w:sz w:val="28"/>
          <w:szCs w:val="28"/>
        </w:rPr>
        <w:t xml:space="preserve"> материала, пропитанного по рецептуре «</w:t>
      </w:r>
      <w:proofErr w:type="spellStart"/>
      <w:r w:rsidR="009E7430" w:rsidRPr="00793621">
        <w:rPr>
          <w:sz w:val="28"/>
          <w:szCs w:val="28"/>
        </w:rPr>
        <w:t>Ланглик</w:t>
      </w:r>
      <w:proofErr w:type="spellEnd"/>
      <w:r w:rsidR="009E7430" w:rsidRPr="00793621">
        <w:rPr>
          <w:sz w:val="28"/>
          <w:szCs w:val="28"/>
        </w:rPr>
        <w:t xml:space="preserve">». На швах оболочки имеются насечки для быстрого вскрытия пакета. При использовании следует взять пакет левой рукой, правой резким движением вскрыть его по насечке, достать тампон и равномерно обработать им открытые участки кожи (лицо, шею и кисти рук) и прилегающие к ним кромки одежды. </w:t>
      </w:r>
    </w:p>
    <w:p w:rsidR="00220F52" w:rsidRDefault="00220F52" w:rsidP="00CD7BD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73D27" w:rsidRPr="00386EA7" w:rsidRDefault="009E7430" w:rsidP="00220F5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93621">
        <w:rPr>
          <w:sz w:val="28"/>
          <w:szCs w:val="28"/>
        </w:rPr>
        <w:t>Средство «ИПП-11» обладает дегазирующей способностью по отношению ко всем известным отравляющим веществам кожно-резорбтивного действия. При этом оно не раздражает кожу, а наоборот, снимает раздражение и болевые ощущения кожи, в том числе и при попадании на кожу веществ типа «CS». Оно эффективно при обработке кожи вокруг ран и безопасно при попадании средства на раны. Средство химически нейтрально по отношению к любым конструкционным материалам и тканям.</w:t>
      </w:r>
    </w:p>
    <w:p w:rsidR="00BA4415" w:rsidRPr="00793621" w:rsidRDefault="009E7430" w:rsidP="00220F5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93621">
        <w:rPr>
          <w:sz w:val="28"/>
          <w:szCs w:val="28"/>
        </w:rPr>
        <w:t xml:space="preserve">Гарантийный срок хранения – 5 лет. Масса снаряженного пакета - 36 - 41 г, габариты: длина – 125 - 135 мм, ширина – 85-90 мм. </w:t>
      </w:r>
    </w:p>
    <w:p w:rsidR="006040EC" w:rsidRDefault="006040EC" w:rsidP="00220F52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</w:p>
    <w:p w:rsidR="00CD7BDE" w:rsidRPr="00793621" w:rsidRDefault="00CD7BDE" w:rsidP="00793621">
      <w:pPr>
        <w:pStyle w:val="a4"/>
        <w:spacing w:before="0" w:beforeAutospacing="0" w:after="0" w:afterAutospacing="0" w:line="240" w:lineRule="exact"/>
        <w:ind w:right="-284"/>
        <w:rPr>
          <w:sz w:val="28"/>
          <w:szCs w:val="28"/>
        </w:rPr>
      </w:pPr>
    </w:p>
    <w:p w:rsidR="006040EC" w:rsidRPr="00793621" w:rsidRDefault="006040EC" w:rsidP="00793621">
      <w:pPr>
        <w:spacing w:after="0" w:line="240" w:lineRule="exact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621">
        <w:rPr>
          <w:rFonts w:ascii="Times New Roman" w:hAnsi="Times New Roman" w:cs="Times New Roman"/>
          <w:sz w:val="28"/>
          <w:szCs w:val="28"/>
        </w:rPr>
        <w:t xml:space="preserve">ЕДИНЫЙ ТЕЛЕФОН ВЫЗОВА ЭКСТРЕННЫХ ОПЕРАТИВНЫХ СЛУЖБ </w:t>
      </w:r>
      <w:r w:rsidRPr="00793621">
        <w:rPr>
          <w:rFonts w:ascii="Times New Roman" w:hAnsi="Times New Roman" w:cs="Times New Roman"/>
          <w:b/>
          <w:sz w:val="28"/>
          <w:szCs w:val="28"/>
        </w:rPr>
        <w:t xml:space="preserve">112 </w:t>
      </w:r>
    </w:p>
    <w:tbl>
      <w:tblPr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040EC" w:rsidRPr="00793621" w:rsidTr="007B34DD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0289" w:rsidRDefault="00A20289" w:rsidP="00793621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20289" w:rsidRDefault="00A20289" w:rsidP="00793621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93621" w:rsidRPr="00793621" w:rsidRDefault="00793621" w:rsidP="00793621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936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Комитет гражданской защиты населения </w:t>
            </w:r>
          </w:p>
          <w:p w:rsidR="00793621" w:rsidRPr="00793621" w:rsidRDefault="00793621" w:rsidP="00793621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36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администрации Волгограда</w:t>
            </w:r>
          </w:p>
          <w:p w:rsidR="006040EC" w:rsidRPr="00793621" w:rsidRDefault="006040EC" w:rsidP="00793621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8E3FDD" w:rsidRDefault="008E3FDD" w:rsidP="00245FD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8E3FDD" w:rsidSect="002C1E5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617B2"/>
    <w:multiLevelType w:val="multilevel"/>
    <w:tmpl w:val="64CE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73D27"/>
    <w:rsid w:val="000A7B1B"/>
    <w:rsid w:val="0010126E"/>
    <w:rsid w:val="00111E5A"/>
    <w:rsid w:val="0012299A"/>
    <w:rsid w:val="001561C6"/>
    <w:rsid w:val="001D7CD7"/>
    <w:rsid w:val="00220F52"/>
    <w:rsid w:val="00245FDB"/>
    <w:rsid w:val="002C1E58"/>
    <w:rsid w:val="002C2120"/>
    <w:rsid w:val="002E503D"/>
    <w:rsid w:val="003658B9"/>
    <w:rsid w:val="00366C05"/>
    <w:rsid w:val="00386EA7"/>
    <w:rsid w:val="003A242B"/>
    <w:rsid w:val="003A2879"/>
    <w:rsid w:val="00475C1B"/>
    <w:rsid w:val="00484334"/>
    <w:rsid w:val="004D138B"/>
    <w:rsid w:val="0050130D"/>
    <w:rsid w:val="00523927"/>
    <w:rsid w:val="006040EC"/>
    <w:rsid w:val="006E7682"/>
    <w:rsid w:val="00760C56"/>
    <w:rsid w:val="0076406C"/>
    <w:rsid w:val="00793621"/>
    <w:rsid w:val="00803E05"/>
    <w:rsid w:val="00817BEB"/>
    <w:rsid w:val="00872429"/>
    <w:rsid w:val="008B1FAF"/>
    <w:rsid w:val="008D2BEF"/>
    <w:rsid w:val="008E3FDD"/>
    <w:rsid w:val="00902202"/>
    <w:rsid w:val="0093389A"/>
    <w:rsid w:val="009846D6"/>
    <w:rsid w:val="009A029A"/>
    <w:rsid w:val="009E7430"/>
    <w:rsid w:val="00A16234"/>
    <w:rsid w:val="00A20289"/>
    <w:rsid w:val="00A21C31"/>
    <w:rsid w:val="00A473EE"/>
    <w:rsid w:val="00AC7641"/>
    <w:rsid w:val="00AE6ECC"/>
    <w:rsid w:val="00B01C77"/>
    <w:rsid w:val="00B563A7"/>
    <w:rsid w:val="00B838C3"/>
    <w:rsid w:val="00BA4415"/>
    <w:rsid w:val="00BB2945"/>
    <w:rsid w:val="00C1161E"/>
    <w:rsid w:val="00C17F39"/>
    <w:rsid w:val="00C233A8"/>
    <w:rsid w:val="00C56BAE"/>
    <w:rsid w:val="00CD7BDE"/>
    <w:rsid w:val="00E503D2"/>
    <w:rsid w:val="00F1741C"/>
    <w:rsid w:val="00F41894"/>
    <w:rsid w:val="00F506F5"/>
    <w:rsid w:val="00F8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8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4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4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234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A16234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6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6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658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36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9E74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iccontleftbb">
    <w:name w:val="pic_cont_left_bb"/>
    <w:basedOn w:val="a"/>
    <w:rsid w:val="009E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8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4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4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234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A16234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6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6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658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36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9E74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iccontleftbb">
    <w:name w:val="pic_cont_left_bb"/>
    <w:basedOn w:val="a"/>
    <w:rsid w:val="009E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8552-63E9-4396-97F0-6F233144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Ширшикова Лиана Владимировна</cp:lastModifiedBy>
  <cp:revision>11</cp:revision>
  <cp:lastPrinted>2020-05-18T09:50:00Z</cp:lastPrinted>
  <dcterms:created xsi:type="dcterms:W3CDTF">2020-04-08T09:42:00Z</dcterms:created>
  <dcterms:modified xsi:type="dcterms:W3CDTF">2020-05-18T09:50:00Z</dcterms:modified>
</cp:coreProperties>
</file>