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36" w:rsidRPr="006020DA" w:rsidRDefault="00B71E36" w:rsidP="00B71E36">
      <w:pPr>
        <w:pStyle w:val="a5"/>
        <w:jc w:val="right"/>
        <w:rPr>
          <w:rFonts w:ascii="Times New Roman" w:hAnsi="Times New Roman" w:cs="Times New Roman"/>
          <w:szCs w:val="28"/>
        </w:rPr>
      </w:pPr>
      <w:r w:rsidRPr="00166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6020DA">
        <w:rPr>
          <w:rFonts w:ascii="Times New Roman" w:hAnsi="Times New Roman" w:cs="Times New Roman"/>
          <w:szCs w:val="28"/>
        </w:rPr>
        <w:t>Приложение № 1</w:t>
      </w:r>
    </w:p>
    <w:p w:rsidR="00B71E36" w:rsidRPr="006020DA" w:rsidRDefault="00B71E36" w:rsidP="00B71E36">
      <w:pPr>
        <w:pStyle w:val="a5"/>
        <w:jc w:val="right"/>
        <w:rPr>
          <w:rFonts w:ascii="Times New Roman" w:hAnsi="Times New Roman" w:cs="Times New Roman"/>
          <w:szCs w:val="28"/>
        </w:rPr>
      </w:pPr>
      <w:r w:rsidRPr="006020DA">
        <w:rPr>
          <w:rFonts w:ascii="Times New Roman" w:hAnsi="Times New Roman" w:cs="Times New Roman"/>
          <w:szCs w:val="28"/>
        </w:rPr>
        <w:t xml:space="preserve">к приказу управления образования </w:t>
      </w:r>
    </w:p>
    <w:p w:rsidR="00B71E36" w:rsidRPr="006020DA" w:rsidRDefault="00B71E36" w:rsidP="00B71E36">
      <w:pPr>
        <w:pStyle w:val="a5"/>
        <w:jc w:val="right"/>
        <w:rPr>
          <w:rFonts w:ascii="Times New Roman" w:hAnsi="Times New Roman" w:cs="Times New Roman"/>
          <w:szCs w:val="28"/>
        </w:rPr>
      </w:pPr>
      <w:r w:rsidRPr="006020DA">
        <w:rPr>
          <w:rFonts w:ascii="Times New Roman" w:hAnsi="Times New Roman" w:cs="Times New Roman"/>
          <w:szCs w:val="28"/>
        </w:rPr>
        <w:t>от 01.03.2023 № 65-ОД</w:t>
      </w:r>
      <w:r w:rsidRPr="006020DA">
        <w:rPr>
          <w:rFonts w:ascii="Times New Roman" w:hAnsi="Times New Roman" w:cs="Times New Roman"/>
          <w:bCs/>
          <w:szCs w:val="28"/>
        </w:rPr>
        <w:t xml:space="preserve"> </w:t>
      </w:r>
    </w:p>
    <w:p w:rsidR="00B71E36" w:rsidRPr="002B2166" w:rsidRDefault="00B71E36" w:rsidP="00B71E36">
      <w:pPr>
        <w:tabs>
          <w:tab w:val="left" w:pos="4755"/>
        </w:tabs>
        <w:jc w:val="center"/>
        <w:rPr>
          <w:b/>
        </w:rPr>
      </w:pPr>
      <w:r>
        <w:rPr>
          <w:b/>
        </w:rPr>
        <w:t>Т</w:t>
      </w:r>
      <w:r w:rsidRPr="002B2166">
        <w:rPr>
          <w:b/>
        </w:rPr>
        <w:t>аблица результатов мониторинга качества дошкольного образования</w:t>
      </w:r>
    </w:p>
    <w:p w:rsidR="00B71E36" w:rsidRPr="008A6E33" w:rsidRDefault="00B71E36" w:rsidP="00B71E36">
      <w:pPr>
        <w:tabs>
          <w:tab w:val="left" w:pos="4755"/>
        </w:tabs>
        <w:jc w:val="center"/>
        <w:rPr>
          <w:b/>
          <w:u w:val="single"/>
        </w:rPr>
      </w:pPr>
      <w:r>
        <w:rPr>
          <w:b/>
          <w:u w:val="single"/>
        </w:rPr>
        <w:t>МБДОУ детский сад «Вишенка»</w:t>
      </w:r>
    </w:p>
    <w:p w:rsidR="00B71E36" w:rsidRPr="002B2166" w:rsidRDefault="00B71E36" w:rsidP="00B71E36">
      <w:pPr>
        <w:tabs>
          <w:tab w:val="left" w:pos="4755"/>
        </w:tabs>
        <w:jc w:val="center"/>
        <w:rPr>
          <w:b/>
        </w:rPr>
      </w:pPr>
      <w:r w:rsidRPr="002B2166">
        <w:rPr>
          <w:b/>
        </w:rPr>
        <w:t>(</w:t>
      </w:r>
      <w:r w:rsidRPr="002B2166">
        <w:rPr>
          <w:b/>
          <w:i/>
        </w:rPr>
        <w:t xml:space="preserve">наименование </w:t>
      </w:r>
      <w:r>
        <w:rPr>
          <w:b/>
          <w:i/>
        </w:rPr>
        <w:t>ОО/ДОО</w:t>
      </w:r>
      <w:r w:rsidRPr="002B2166">
        <w:rPr>
          <w:b/>
        </w:rPr>
        <w:t>)</w:t>
      </w:r>
    </w:p>
    <w:p w:rsidR="00B71E36" w:rsidRDefault="00B71E36" w:rsidP="00B71E36">
      <w:pPr>
        <w:tabs>
          <w:tab w:val="left" w:pos="4755"/>
        </w:tabs>
        <w:jc w:val="center"/>
        <w:rPr>
          <w:b/>
        </w:rPr>
      </w:pPr>
      <w:r w:rsidRPr="002B2166">
        <w:rPr>
          <w:b/>
        </w:rPr>
        <w:t xml:space="preserve">по состоянию на </w:t>
      </w:r>
      <w:r>
        <w:rPr>
          <w:b/>
        </w:rPr>
        <w:t>27</w:t>
      </w:r>
      <w:r w:rsidRPr="002B2166">
        <w:rPr>
          <w:b/>
        </w:rPr>
        <w:t>.</w:t>
      </w:r>
      <w:r>
        <w:rPr>
          <w:b/>
        </w:rPr>
        <w:t>03</w:t>
      </w:r>
      <w:r w:rsidRPr="002B2166">
        <w:rPr>
          <w:b/>
        </w:rPr>
        <w:t>.202</w:t>
      </w:r>
      <w:r>
        <w:rPr>
          <w:b/>
        </w:rPr>
        <w:t>3 г.</w:t>
      </w:r>
    </w:p>
    <w:p w:rsidR="00B71E36" w:rsidRDefault="00B71E36" w:rsidP="00B71E36">
      <w:pPr>
        <w:tabs>
          <w:tab w:val="left" w:pos="4755"/>
        </w:tabs>
        <w:jc w:val="center"/>
        <w:rPr>
          <w:b/>
        </w:rPr>
      </w:pPr>
    </w:p>
    <w:p w:rsidR="00B71E36" w:rsidRPr="006C66EA" w:rsidRDefault="00B71E36" w:rsidP="00B71E36">
      <w:pPr>
        <w:pStyle w:val="a3"/>
        <w:numPr>
          <w:ilvl w:val="0"/>
          <w:numId w:val="1"/>
        </w:numPr>
        <w:autoSpaceDE w:val="0"/>
        <w:contextualSpacing/>
        <w:jc w:val="center"/>
        <w:rPr>
          <w:b/>
          <w:sz w:val="28"/>
          <w:szCs w:val="28"/>
        </w:rPr>
      </w:pPr>
      <w:r w:rsidRPr="006C66EA">
        <w:rPr>
          <w:b/>
          <w:sz w:val="28"/>
          <w:szCs w:val="28"/>
        </w:rPr>
        <w:t>Обобщенные результаты мониторинга качества дошкольного образования.</w:t>
      </w:r>
    </w:p>
    <w:p w:rsidR="00B71E36" w:rsidRPr="00925CEC" w:rsidRDefault="00B71E36" w:rsidP="00B71E36">
      <w:pPr>
        <w:tabs>
          <w:tab w:val="left" w:pos="4755"/>
        </w:tabs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925"/>
        <w:gridCol w:w="1842"/>
        <w:gridCol w:w="426"/>
        <w:gridCol w:w="283"/>
        <w:gridCol w:w="709"/>
        <w:gridCol w:w="1559"/>
        <w:gridCol w:w="3544"/>
      </w:tblGrid>
      <w:tr w:rsidR="00B71E36" w:rsidRPr="00EF0EC5" w:rsidTr="004361EA">
        <w:trPr>
          <w:trHeight w:val="707"/>
          <w:tblHeader/>
        </w:trPr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 w:rsidRPr="00EF0EC5">
              <w:rPr>
                <w:b/>
              </w:rPr>
              <w:t>№</w:t>
            </w:r>
          </w:p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proofErr w:type="spellStart"/>
            <w:proofErr w:type="gramStart"/>
            <w:r w:rsidRPr="00EF0EC5">
              <w:rPr>
                <w:b/>
              </w:rPr>
              <w:t>п</w:t>
            </w:r>
            <w:proofErr w:type="spellEnd"/>
            <w:proofErr w:type="gramEnd"/>
            <w:r w:rsidRPr="00EF0EC5">
              <w:rPr>
                <w:b/>
              </w:rPr>
              <w:t>/</w:t>
            </w:r>
            <w:proofErr w:type="spellStart"/>
            <w:r w:rsidRPr="00EF0EC5">
              <w:rPr>
                <w:b/>
              </w:rPr>
              <w:t>п</w:t>
            </w:r>
            <w:proofErr w:type="spellEnd"/>
          </w:p>
        </w:tc>
        <w:tc>
          <w:tcPr>
            <w:tcW w:w="5925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 w:rsidRPr="00EF0EC5">
              <w:rPr>
                <w:b/>
              </w:rPr>
              <w:t>Показатели</w:t>
            </w: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 w:rsidRPr="00EF0EC5">
              <w:rPr>
                <w:b/>
              </w:rPr>
              <w:t>Критерии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 w:rsidRPr="002B2166">
              <w:rPr>
                <w:b/>
              </w:rPr>
              <w:t>Подтверждающие информацию документы</w:t>
            </w:r>
          </w:p>
        </w:tc>
      </w:tr>
      <w:tr w:rsidR="00B71E36" w:rsidRPr="00EF0EC5" w:rsidTr="004361EA">
        <w:trPr>
          <w:trHeight w:val="373"/>
        </w:trPr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 w:rsidRPr="00EF0EC5">
              <w:rPr>
                <w:b/>
              </w:rPr>
              <w:t>1.</w:t>
            </w: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contextualSpacing/>
              <w:rPr>
                <w:b/>
              </w:rPr>
            </w:pPr>
            <w:r w:rsidRPr="00EF0EC5">
              <w:rPr>
                <w:b/>
                <w:color w:val="000000"/>
              </w:rPr>
              <w:t>Качество образовательных программ дошкольного образования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  <w:rPr>
                <w:b/>
                <w:color w:val="000000"/>
              </w:rPr>
            </w:pPr>
            <w:r w:rsidRPr="002B2166">
              <w:t>Ссылка на приказ об ут</w:t>
            </w:r>
            <w:r>
              <w:t xml:space="preserve">верждении результатов мониторинга </w:t>
            </w:r>
            <w:r w:rsidRPr="002B2166">
              <w:t xml:space="preserve"> качества </w:t>
            </w:r>
            <w:r>
              <w:t xml:space="preserve">дошкольного образования </w:t>
            </w:r>
          </w:p>
        </w:tc>
      </w:tr>
      <w:tr w:rsidR="00B71E36" w:rsidRPr="00EF0EC5" w:rsidTr="004361EA">
        <w:trPr>
          <w:trHeight w:val="760"/>
        </w:trPr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contextualSpacing/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  <w:rPr>
                <w:b/>
                <w:color w:val="000000"/>
              </w:rPr>
            </w:pP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>1.1.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widowControl w:val="0"/>
              <w:rPr>
                <w:color w:val="000000"/>
              </w:rPr>
            </w:pPr>
            <w:r w:rsidRPr="00EF0EC5">
              <w:rPr>
                <w:color w:val="000000"/>
              </w:rPr>
              <w:t>Наличие основной образовательной программы дошкольного образования, разработанной и утвержденной в ДОО</w:t>
            </w:r>
            <w:r>
              <w:rPr>
                <w:color w:val="000000"/>
              </w:rPr>
              <w:t>.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hyperlink r:id="rId5" w:history="1">
              <w:r w:rsidRPr="00097A1A">
                <w:rPr>
                  <w:rStyle w:val="a6"/>
                </w:rPr>
                <w:t>https://vishenka-vs.nubex.ru/sveden/education/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>1.2.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widowControl w:val="0"/>
              <w:rPr>
                <w:color w:val="000000"/>
              </w:rPr>
            </w:pPr>
            <w:r w:rsidRPr="00EF0EC5">
              <w:rPr>
                <w:color w:val="000000"/>
              </w:rPr>
              <w:t xml:space="preserve">Соответствие основной образовательной программы дошкольного образования (ООП ДО) ДОО, требованиям ФГОС </w:t>
            </w:r>
            <w:proofErr w:type="gramStart"/>
            <w:r w:rsidRPr="00EF0EC5">
              <w:rPr>
                <w:color w:val="000000"/>
              </w:rPr>
              <w:t>ДО</w:t>
            </w:r>
            <w:proofErr w:type="gramEnd"/>
            <w:r w:rsidRPr="00EF0EC5">
              <w:rPr>
                <w:color w:val="000000"/>
              </w:rPr>
              <w:t xml:space="preserve"> </w:t>
            </w:r>
            <w:proofErr w:type="gramStart"/>
            <w:r w:rsidRPr="00EF0EC5">
              <w:rPr>
                <w:color w:val="000000"/>
              </w:rPr>
              <w:t>к</w:t>
            </w:r>
            <w:proofErr w:type="gramEnd"/>
            <w:r w:rsidRPr="00EF0EC5">
              <w:rPr>
                <w:color w:val="000000"/>
              </w:rPr>
              <w:t xml:space="preserve"> структуре и содержанию образовательных программ дошкольного образования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hyperlink r:id="rId6" w:history="1">
              <w:r w:rsidRPr="00097A1A">
                <w:rPr>
                  <w:rStyle w:val="a6"/>
                </w:rPr>
                <w:t>https://vishenka-vs.nubex.ru/sveden/education/</w:t>
              </w:r>
            </w:hyperlink>
            <w:r>
              <w:t xml:space="preserve">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1.3.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ДОО, в </w:t>
            </w:r>
            <w:proofErr w:type="gramStart"/>
            <w:r>
              <w:rPr>
                <w:color w:val="000000"/>
              </w:rPr>
              <w:t>которых</w:t>
            </w:r>
            <w:proofErr w:type="gramEnd"/>
            <w:r>
              <w:rPr>
                <w:color w:val="000000"/>
              </w:rPr>
              <w:t xml:space="preserve"> созданы условия для обучающихся с ОВЗ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7" w:history="1">
              <w:r w:rsidRPr="00097A1A">
                <w:rPr>
                  <w:rStyle w:val="a6"/>
                </w:rPr>
                <w:t>https://vishenka-vs.nubex.ru/sveden/ovz/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1.4.</w:t>
            </w:r>
          </w:p>
        </w:tc>
        <w:tc>
          <w:tcPr>
            <w:tcW w:w="5925" w:type="dxa"/>
          </w:tcPr>
          <w:p w:rsidR="00B71E36" w:rsidRPr="00385DA1" w:rsidRDefault="00B71E36" w:rsidP="004361EA">
            <w:pPr>
              <w:tabs>
                <w:tab w:val="left" w:pos="4755"/>
              </w:tabs>
            </w:pPr>
            <w:proofErr w:type="gramStart"/>
            <w:r>
              <w:rPr>
                <w:color w:val="000000"/>
              </w:rPr>
              <w:t xml:space="preserve">Наличие ДОО, в которых содержание образовательной программы ДО обеспечивает развитие личности в </w:t>
            </w:r>
            <w:r>
              <w:rPr>
                <w:color w:val="000000"/>
              </w:rPr>
              <w:lastRenderedPageBreak/>
              <w:t xml:space="preserve">соответствии с возрастными особенностями детей по следующим компонентам </w:t>
            </w:r>
            <w:r w:rsidRPr="00385DA1">
              <w:t>(социально-коммуникативное развитие, п</w:t>
            </w:r>
            <w:r>
              <w:t xml:space="preserve">ознавательное развитие, речевое </w:t>
            </w:r>
            <w:r w:rsidRPr="00385DA1">
              <w:t>развитие, художественно-эстетическое развитие, физическое развитие)</w:t>
            </w:r>
            <w:proofErr w:type="gramEnd"/>
          </w:p>
        </w:tc>
        <w:tc>
          <w:tcPr>
            <w:tcW w:w="2551" w:type="dxa"/>
            <w:gridSpan w:val="3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8" w:history="1">
              <w:r w:rsidRPr="00097A1A">
                <w:rPr>
                  <w:rStyle w:val="a6"/>
                </w:rPr>
                <w:t>https://vishenka-vs.nubex.ru/sveden/education/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rPr>
                <w:b/>
              </w:rPr>
              <w:lastRenderedPageBreak/>
              <w:t>2.</w:t>
            </w: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  <w:r w:rsidRPr="00EF0EC5">
              <w:rPr>
                <w:b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</w:p>
        </w:tc>
      </w:tr>
      <w:tr w:rsidR="00B71E36" w:rsidRPr="00EF0EC5" w:rsidTr="004361EA">
        <w:trPr>
          <w:trHeight w:val="270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rPr>
                <w:b/>
              </w:rPr>
            </w:pPr>
            <w:r w:rsidRPr="00EF0EC5">
              <w:rPr>
                <w:b/>
              </w:rPr>
              <w:t>Кадровые условия:</w:t>
            </w: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>Количество педагогов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rPr>
                <w:b/>
              </w:rPr>
            </w:pP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  <w:rPr>
                <w:rFonts w:eastAsia="SimSun"/>
                <w:lang w:eastAsia="ar-SA"/>
              </w:rPr>
            </w:pPr>
            <w:r w:rsidRPr="00EF0EC5">
              <w:t>В абсолютных числах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  <w:rPr>
                <w:rFonts w:eastAsia="SimSun"/>
                <w:lang w:eastAsia="ar-SA"/>
              </w:rPr>
            </w:pPr>
            <w:r>
              <w:t xml:space="preserve">   </w:t>
            </w: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 по штатным расписаниям</w:t>
            </w:r>
          </w:p>
        </w:tc>
        <w:tc>
          <w:tcPr>
            <w:tcW w:w="3544" w:type="dxa"/>
          </w:tcPr>
          <w:p w:rsidR="00B71E36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Обеспеченность ДОО педагогическими кадрами</w:t>
            </w:r>
            <w:r>
              <w:t>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9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.2.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Обеспеченность ДОО учебно-вспомогательным персоналом (младшими воспитателями и помощниками воспитателей)</w:t>
            </w:r>
            <w:r>
              <w:t>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0" w:history="1">
              <w:r w:rsidRPr="00097A1A">
                <w:rPr>
                  <w:rStyle w:val="a6"/>
                </w:rPr>
                <w:t>https://vishenka-vs.nubex.ru/</w:t>
              </w:r>
              <w:r w:rsidRPr="00097A1A">
                <w:rPr>
                  <w:rStyle w:val="a6"/>
                </w:rPr>
                <w:t>s</w:t>
              </w:r>
              <w:r w:rsidRPr="00097A1A">
                <w:rPr>
                  <w:rStyle w:val="a6"/>
                </w:rPr>
                <w:t>veden/employees/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2.3</w:t>
            </w:r>
            <w:r w:rsidRPr="00EF0EC5">
              <w:t>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Наличие у педагогических работников высшего образо</w:t>
            </w:r>
            <w:r>
              <w:t>вания (по профилю деятельности).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0%</w:t>
            </w:r>
          </w:p>
        </w:tc>
        <w:tc>
          <w:tcPr>
            <w:tcW w:w="3544" w:type="dxa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hyperlink r:id="rId11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2.4</w:t>
            </w:r>
            <w:r w:rsidRPr="00EF0EC5">
              <w:t>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Своевременность повышения квалификации педагогов и руководителя ДОО</w:t>
            </w:r>
            <w:r>
              <w:t>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2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2.5</w:t>
            </w:r>
            <w:r w:rsidRPr="00EF0EC5">
              <w:t>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Наличие первой квалификационной категории у педагогических работников</w:t>
            </w:r>
            <w:r>
              <w:t>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r>
              <w:t>0%</w:t>
            </w:r>
          </w:p>
        </w:tc>
        <w:tc>
          <w:tcPr>
            <w:tcW w:w="3544" w:type="dxa"/>
          </w:tcPr>
          <w:p w:rsidR="00B71E36" w:rsidRPr="004C6D46" w:rsidRDefault="00B71E36" w:rsidP="004361EA">
            <w:pPr>
              <w:tabs>
                <w:tab w:val="left" w:pos="4755"/>
              </w:tabs>
              <w:jc w:val="center"/>
            </w:pPr>
            <w:hyperlink r:id="rId13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2.6</w:t>
            </w:r>
            <w:r w:rsidRPr="00EF0EC5">
              <w:t>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Наличие высшей квалификационной категории у педагогических работников</w:t>
            </w:r>
            <w:r>
              <w:t>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4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</w:p>
        </w:tc>
      </w:tr>
      <w:tr w:rsidR="00B71E36" w:rsidRPr="00EF0EC5" w:rsidTr="004361EA">
        <w:trPr>
          <w:trHeight w:val="927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</w:t>
            </w:r>
            <w:r>
              <w:t>7.</w:t>
            </w: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contextualSpacing/>
            </w:pPr>
            <w:r w:rsidRPr="00EF0EC5">
              <w:t>Нагрузка на педагогов</w:t>
            </w:r>
            <w:r>
              <w:t>.</w:t>
            </w:r>
          </w:p>
        </w:tc>
        <w:tc>
          <w:tcPr>
            <w:tcW w:w="4819" w:type="dxa"/>
            <w:gridSpan w:val="5"/>
          </w:tcPr>
          <w:p w:rsidR="00B71E36" w:rsidRDefault="00B71E36" w:rsidP="004361EA">
            <w:pPr>
              <w:suppressLineNumbers/>
              <w:suppressAutoHyphens/>
              <w:snapToGrid w:val="0"/>
              <w:jc w:val="center"/>
            </w:pPr>
            <w:r w:rsidRPr="00EF0EC5">
              <w:t>Соотношение между количеством воспитанников и количеством педагогов в ДОО</w:t>
            </w:r>
          </w:p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  <w:tc>
          <w:tcPr>
            <w:tcW w:w="3544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contextualSpacing/>
            </w:pPr>
          </w:p>
        </w:tc>
        <w:tc>
          <w:tcPr>
            <w:tcW w:w="1842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  <w:r w:rsidRPr="00EF0EC5">
              <w:t xml:space="preserve">среднее </w:t>
            </w:r>
            <w:r w:rsidRPr="00EF0EC5">
              <w:lastRenderedPageBreak/>
              <w:t>значение</w:t>
            </w:r>
          </w:p>
        </w:tc>
        <w:tc>
          <w:tcPr>
            <w:tcW w:w="1418" w:type="dxa"/>
            <w:gridSpan w:val="3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  <w:proofErr w:type="spellStart"/>
            <w:proofErr w:type="gramStart"/>
            <w:r w:rsidRPr="00EF0EC5">
              <w:lastRenderedPageBreak/>
              <w:t>мини-</w:t>
            </w:r>
            <w:r w:rsidRPr="00EF0EC5">
              <w:lastRenderedPageBreak/>
              <w:t>мальное</w:t>
            </w:r>
            <w:proofErr w:type="spellEnd"/>
            <w:proofErr w:type="gramEnd"/>
            <w:r w:rsidRPr="00EF0EC5">
              <w:t xml:space="preserve"> значение</w:t>
            </w:r>
          </w:p>
        </w:tc>
        <w:tc>
          <w:tcPr>
            <w:tcW w:w="1559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  <w:proofErr w:type="spellStart"/>
            <w:proofErr w:type="gramStart"/>
            <w:r w:rsidRPr="00EF0EC5">
              <w:lastRenderedPageBreak/>
              <w:t>макси-</w:t>
            </w:r>
            <w:r w:rsidRPr="00EF0EC5">
              <w:lastRenderedPageBreak/>
              <w:t>мальное</w:t>
            </w:r>
            <w:proofErr w:type="spellEnd"/>
            <w:proofErr w:type="gramEnd"/>
            <w:r w:rsidRPr="00EF0EC5">
              <w:t xml:space="preserve"> значение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contextualSpacing/>
            </w:pPr>
          </w:p>
        </w:tc>
        <w:tc>
          <w:tcPr>
            <w:tcW w:w="1842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  <w:r>
              <w:t>8,5</w:t>
            </w:r>
          </w:p>
        </w:tc>
        <w:tc>
          <w:tcPr>
            <w:tcW w:w="1418" w:type="dxa"/>
            <w:gridSpan w:val="3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  <w:tc>
          <w:tcPr>
            <w:tcW w:w="1559" w:type="dxa"/>
          </w:tcPr>
          <w:p w:rsidR="00B71E36" w:rsidRPr="00EF0EC5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  <w:tc>
          <w:tcPr>
            <w:tcW w:w="3544" w:type="dxa"/>
          </w:tcPr>
          <w:p w:rsidR="00B71E36" w:rsidRDefault="00B71E36" w:rsidP="004361EA">
            <w:pPr>
              <w:suppressLineNumbers/>
              <w:suppressAutoHyphens/>
              <w:snapToGrid w:val="0"/>
              <w:jc w:val="center"/>
            </w:pPr>
          </w:p>
        </w:tc>
      </w:tr>
      <w:tr w:rsidR="00B71E36" w:rsidRPr="00EF0EC5" w:rsidTr="004361EA">
        <w:trPr>
          <w:trHeight w:val="384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tabs>
                <w:tab w:val="left" w:pos="4755"/>
              </w:tabs>
            </w:pPr>
            <w:r w:rsidRPr="00EF0EC5">
              <w:rPr>
                <w:b/>
              </w:rPr>
              <w:t>Развивающая предметно-пространственная среда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</w:p>
        </w:tc>
      </w:tr>
      <w:tr w:rsidR="00B71E36" w:rsidRPr="00EF0EC5" w:rsidTr="004361EA">
        <w:trPr>
          <w:trHeight w:val="599"/>
        </w:trPr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</w:tcPr>
          <w:p w:rsidR="00B71E36" w:rsidRPr="00EF0EC5" w:rsidRDefault="00B71E36" w:rsidP="004361EA">
            <w:pPr>
              <w:rPr>
                <w:b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</w:tcPr>
          <w:p w:rsidR="00B71E36" w:rsidRPr="00EF0EC5" w:rsidRDefault="00B71E36" w:rsidP="004361E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.8.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proofErr w:type="spellStart"/>
            <w:proofErr w:type="gramStart"/>
            <w:r w:rsidRPr="00EF0EC5">
              <w:t>Содержательная-насыщенность</w:t>
            </w:r>
            <w:proofErr w:type="spellEnd"/>
            <w:proofErr w:type="gramEnd"/>
            <w:r w:rsidRPr="00EF0EC5">
              <w:t xml:space="preserve"> среды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5" w:history="1">
              <w:r w:rsidRPr="00097A1A">
                <w:rPr>
                  <w:rStyle w:val="a6"/>
                </w:rPr>
                <w:t>https://vishenka-vs.nubex.ru/sveden/objects/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.9.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Трансформируемость пространства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6" w:history="1">
              <w:r w:rsidRPr="00097A1A">
                <w:rPr>
                  <w:rStyle w:val="a6"/>
                </w:rPr>
                <w:t>https://vishenka-vs.nubex.ru/sveden/objects/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.10.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Полифункциональность материалов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7" w:history="1">
              <w:r w:rsidRPr="00097A1A">
                <w:rPr>
                  <w:rStyle w:val="a6"/>
                </w:rPr>
                <w:t>https://vishenka-vs.nubex.ru/sveden/objects/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Вариативность среды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8" w:history="1">
              <w:r w:rsidRPr="00097A1A">
                <w:rPr>
                  <w:rStyle w:val="a6"/>
                </w:rPr>
                <w:t>https://vishenka-vs.nubex.ru/sveden/objects/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tabs>
                <w:tab w:val="left" w:pos="4755"/>
              </w:tabs>
            </w:pPr>
            <w:r w:rsidRPr="00EF0EC5">
              <w:rPr>
                <w:b/>
              </w:rPr>
              <w:t>Психолого-педагогические условия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</w:p>
        </w:tc>
      </w:tr>
      <w:tr w:rsidR="00B71E36" w:rsidRPr="00EF0EC5" w:rsidTr="004361EA">
        <w:trPr>
          <w:trHeight w:val="828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contextualSpacing/>
              <w:rPr>
                <w:b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contextualSpacing/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2.12.</w:t>
            </w:r>
          </w:p>
        </w:tc>
        <w:tc>
          <w:tcPr>
            <w:tcW w:w="5925" w:type="dxa"/>
          </w:tcPr>
          <w:p w:rsidR="00B71E36" w:rsidRDefault="00B71E36" w:rsidP="004361EA">
            <w:pPr>
              <w:contextualSpacing/>
            </w:pPr>
            <w:r>
              <w:t>Доступность среды</w:t>
            </w:r>
          </w:p>
        </w:tc>
        <w:tc>
          <w:tcPr>
            <w:tcW w:w="2268" w:type="dxa"/>
            <w:gridSpan w:val="2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19" w:history="1">
              <w:r w:rsidRPr="00097A1A">
                <w:rPr>
                  <w:rStyle w:val="a6"/>
                </w:rPr>
                <w:t>https://vishenka-vs.nubex.ru/sveden/ovz/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2.13.</w:t>
            </w:r>
          </w:p>
        </w:tc>
        <w:tc>
          <w:tcPr>
            <w:tcW w:w="5925" w:type="dxa"/>
          </w:tcPr>
          <w:p w:rsidR="00B71E36" w:rsidRDefault="00B71E36" w:rsidP="004361EA">
            <w:pPr>
              <w:contextualSpacing/>
            </w:pPr>
            <w:r>
              <w:t>Безопасность предметно-пространственной среды</w:t>
            </w:r>
          </w:p>
        </w:tc>
        <w:tc>
          <w:tcPr>
            <w:tcW w:w="2268" w:type="dxa"/>
            <w:gridSpan w:val="2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0" w:history="1">
              <w:r w:rsidRPr="00097A1A">
                <w:rPr>
                  <w:rStyle w:val="a6"/>
                </w:rPr>
                <w:t>https://vishenka-vs.nubex.ru/sveden/objects/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.14.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>
              <w:t>У</w:t>
            </w:r>
            <w:r w:rsidRPr="00EF0EC5">
              <w:t>важение взрослых к человеческому достоинству детей, формирование и поддержка их положительной самооценки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1" w:history="1">
              <w:r w:rsidRPr="00097A1A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.15.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>
              <w:t>П</w:t>
            </w:r>
            <w:r w:rsidRPr="00EF0EC5">
              <w:t xml:space="preserve">оддержка взрослыми доброжелательного отношения </w:t>
            </w:r>
            <w:r w:rsidRPr="00EF0EC5">
              <w:lastRenderedPageBreak/>
              <w:t>детей друг к другу и взаимодействия детей друг с другом в разных видах деятельности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2" w:history="1">
              <w:r w:rsidRPr="00097A1A">
                <w:rPr>
                  <w:rStyle w:val="a6"/>
                </w:rPr>
                <w:t>https://vishenka-</w:t>
              </w:r>
              <w:r w:rsidRPr="00097A1A">
                <w:rPr>
                  <w:rStyle w:val="a6"/>
                </w:rPr>
                <w:lastRenderedPageBreak/>
                <w:t>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lastRenderedPageBreak/>
              <w:t>2</w:t>
            </w:r>
            <w:r w:rsidRPr="00EF0EC5">
              <w:t>.16.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Поддержка инициативы и самостоятельности детей в специфических для них видах деятельности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3" w:history="1">
              <w:r w:rsidRPr="00097A1A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2</w:t>
            </w:r>
            <w:r w:rsidRPr="00EF0EC5">
              <w:t>.17.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contextualSpacing/>
            </w:pPr>
            <w:r w:rsidRPr="00EF0EC5">
              <w:t>Защита детей от всех форм физического и психического насилия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4" w:history="1">
              <w:r w:rsidRPr="00097A1A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F0EC5">
              <w:rPr>
                <w:b/>
              </w:rPr>
              <w:t>.</w:t>
            </w:r>
          </w:p>
        </w:tc>
        <w:tc>
          <w:tcPr>
            <w:tcW w:w="10744" w:type="dxa"/>
            <w:gridSpan w:val="6"/>
          </w:tcPr>
          <w:p w:rsidR="00B71E36" w:rsidRDefault="00B71E36" w:rsidP="004361EA">
            <w:pPr>
              <w:rPr>
                <w:b/>
                <w:color w:val="000000"/>
                <w:lang w:eastAsia="ar-SA"/>
              </w:rPr>
            </w:pPr>
            <w:proofErr w:type="gramStart"/>
            <w:r>
              <w:rPr>
                <w:b/>
                <w:color w:val="000000"/>
                <w:lang w:eastAsia="ar-SA"/>
              </w:rPr>
              <w:t>Взаимодействие</w:t>
            </w:r>
            <w:r w:rsidRPr="00EF0EC5">
              <w:rPr>
                <w:b/>
                <w:color w:val="000000"/>
                <w:lang w:eastAsia="ar-SA"/>
              </w:rPr>
              <w:t xml:space="preserve"> с семьей (участие семьи в образовательной деятельности, удовлетворённость семьи </w:t>
            </w:r>
            <w:proofErr w:type="gramEnd"/>
          </w:p>
          <w:p w:rsidR="00B71E36" w:rsidRPr="00EF0EC5" w:rsidRDefault="00B71E36" w:rsidP="004361EA">
            <w:pPr>
              <w:rPr>
                <w:b/>
                <w:color w:val="000000"/>
                <w:lang w:eastAsia="ar-SA"/>
              </w:rPr>
            </w:pPr>
            <w:r w:rsidRPr="00EF0EC5">
              <w:rPr>
                <w:b/>
                <w:color w:val="000000"/>
                <w:lang w:eastAsia="ar-SA"/>
              </w:rPr>
              <w:t>образовательными услугами, индивидуальная поддержка развития детей в семье)</w:t>
            </w:r>
          </w:p>
        </w:tc>
        <w:tc>
          <w:tcPr>
            <w:tcW w:w="3544" w:type="dxa"/>
          </w:tcPr>
          <w:p w:rsidR="00B71E36" w:rsidRDefault="00B71E36" w:rsidP="004361EA">
            <w:pPr>
              <w:rPr>
                <w:b/>
                <w:color w:val="000000"/>
                <w:lang w:eastAsia="ar-SA"/>
              </w:rPr>
            </w:pPr>
          </w:p>
        </w:tc>
      </w:tr>
      <w:tr w:rsidR="00B71E36" w:rsidRPr="00EF0EC5" w:rsidTr="004361EA">
        <w:trPr>
          <w:trHeight w:val="793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rPr>
                <w:b/>
                <w:color w:val="000000"/>
                <w:lang w:eastAsia="ar-SA"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3</w:t>
            </w:r>
            <w:r w:rsidRPr="00EF0EC5">
              <w:t>.1.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suppressLineNumbers/>
              <w:suppressAutoHyphens/>
              <w:rPr>
                <w:rFonts w:eastAsia="SimSun"/>
                <w:lang w:eastAsia="ar-SA"/>
              </w:rPr>
            </w:pPr>
            <w:r w:rsidRPr="00EF0EC5">
              <w:rPr>
                <w:rFonts w:eastAsia="SimSun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  <w:r>
              <w:rPr>
                <w:rFonts w:eastAsia="SimSun"/>
                <w:lang w:eastAsia="ar-SA"/>
              </w:rP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5" w:history="1">
              <w:r w:rsidRPr="00097A1A">
                <w:rPr>
                  <w:rStyle w:val="a6"/>
                </w:rPr>
                <w:t>https://vishenka-vs.nubex.ru/sveden/document/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3</w:t>
            </w:r>
            <w:r w:rsidRPr="00EF0EC5">
              <w:t>.2.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suppressLineNumbers/>
              <w:suppressAutoHyphens/>
              <w:rPr>
                <w:rFonts w:eastAsia="SimSun"/>
                <w:lang w:eastAsia="ar-SA"/>
              </w:rPr>
            </w:pPr>
            <w:r w:rsidRPr="00EF0EC5">
              <w:rPr>
                <w:rFonts w:eastAsia="SimSun"/>
                <w:lang w:eastAsia="ar-SA"/>
              </w:rPr>
              <w:t>Наличие единого информационного пространства взаимодействия ДОО с семьей</w:t>
            </w:r>
            <w:r>
              <w:rPr>
                <w:rFonts w:eastAsia="SimSun"/>
                <w:lang w:eastAsia="ar-SA"/>
              </w:rP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6" w:history="1">
              <w:r w:rsidRPr="00097A1A">
                <w:rPr>
                  <w:rStyle w:val="a6"/>
                </w:rPr>
                <w:t>https://vishenka-vs.nubex.ru/7522/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3</w:t>
            </w:r>
            <w:r w:rsidRPr="00EF0EC5">
              <w:t>.3.</w:t>
            </w: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suppressLineNumbers/>
              <w:suppressAutoHyphens/>
            </w:pPr>
            <w:r w:rsidRPr="00EF0EC5">
              <w:t>Количеств</w:t>
            </w:r>
            <w:r>
              <w:t>о семей</w:t>
            </w:r>
            <w:r w:rsidRPr="00EF0EC5">
              <w:t xml:space="preserve"> воспитанников ДОО</w:t>
            </w:r>
            <w:r>
              <w:t>,</w:t>
            </w:r>
            <w:r w:rsidRPr="00EF0EC5">
              <w:t xml:space="preserve">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  <w:r>
              <w:t>.</w:t>
            </w: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>Количество родителей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suppressLineNumbers/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родителей воспитанников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suppressLineNumbers/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006C90" w:rsidRDefault="00B71E36" w:rsidP="004361EA">
            <w:pPr>
              <w:tabs>
                <w:tab w:val="left" w:pos="4755"/>
              </w:tabs>
              <w:jc w:val="center"/>
            </w:pPr>
            <w:r>
              <w:t>34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006C90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Pr="00006C90" w:rsidRDefault="00B71E36" w:rsidP="004361EA">
            <w:pPr>
              <w:tabs>
                <w:tab w:val="left" w:pos="4755"/>
              </w:tabs>
              <w:jc w:val="center"/>
            </w:pPr>
            <w:hyperlink r:id="rId27" w:history="1">
              <w:r w:rsidRPr="00097A1A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rPr>
          <w:trHeight w:val="508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3.4.</w:t>
            </w:r>
          </w:p>
        </w:tc>
        <w:tc>
          <w:tcPr>
            <w:tcW w:w="5925" w:type="dxa"/>
            <w:vMerge w:val="restart"/>
          </w:tcPr>
          <w:p w:rsidR="00B71E36" w:rsidRPr="007A18A7" w:rsidRDefault="00B71E36" w:rsidP="004361EA">
            <w:pPr>
              <w:tabs>
                <w:tab w:val="left" w:pos="4755"/>
              </w:tabs>
            </w:pPr>
            <w:r w:rsidRPr="007A18A7">
              <w:rPr>
                <w:color w:val="000000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hyperlink r:id="rId28" w:history="1">
              <w:r w:rsidRPr="00E64299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</w:tcPr>
          <w:p w:rsidR="00B71E36" w:rsidRPr="00EF0EC5" w:rsidRDefault="00B71E36" w:rsidP="004361EA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00F1C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00F1C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rPr>
          <w:trHeight w:val="537"/>
        </w:trPr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lastRenderedPageBreak/>
              <w:t>3</w:t>
            </w:r>
            <w:r w:rsidRPr="00EF0EC5">
              <w:t>.5.</w:t>
            </w:r>
          </w:p>
        </w:tc>
        <w:tc>
          <w:tcPr>
            <w:tcW w:w="5925" w:type="dxa"/>
          </w:tcPr>
          <w:p w:rsidR="00B71E36" w:rsidRPr="00006C90" w:rsidRDefault="00B71E36" w:rsidP="004361EA">
            <w:pPr>
              <w:contextualSpacing/>
            </w:pPr>
            <w:r w:rsidRPr="00006C90">
              <w:rPr>
                <w:color w:val="000000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  <w:bookmarkStart w:id="0" w:name="_Hlk99356147"/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fldChar w:fldCharType="begin"/>
            </w:r>
            <w:r>
              <w:instrText>HYPERLINK "https://vishenka-vs.nubex.ru/8770/"</w:instrText>
            </w:r>
            <w:r>
              <w:fldChar w:fldCharType="separate"/>
            </w:r>
            <w:r w:rsidRPr="00E64299">
              <w:rPr>
                <w:rStyle w:val="a6"/>
              </w:rPr>
              <w:t>https://vishenka-vs.nubex.ru/8770/</w:t>
            </w:r>
            <w:r>
              <w:fldChar w:fldCharType="end"/>
            </w:r>
            <w:bookmarkEnd w:id="0"/>
            <w:r>
              <w:t xml:space="preserve">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rPr>
                <w:b/>
              </w:rPr>
              <w:t>4</w:t>
            </w:r>
            <w:r w:rsidRPr="00EF0EC5">
              <w:rPr>
                <w:b/>
              </w:rPr>
              <w:t>.</w:t>
            </w: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tabs>
                <w:tab w:val="left" w:pos="4755"/>
              </w:tabs>
            </w:pPr>
            <w:r w:rsidRPr="00EF0EC5">
              <w:rPr>
                <w:b/>
              </w:rPr>
              <w:t>Обеспечение здоровья, безопасности, качество услуг по присмотру и уходу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</w:p>
        </w:tc>
      </w:tr>
      <w:tr w:rsidR="00B71E36" w:rsidRPr="00EF0EC5" w:rsidTr="004361EA">
        <w:trPr>
          <w:trHeight w:val="837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rPr>
          <w:trHeight w:val="906"/>
        </w:trPr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4</w:t>
            </w:r>
            <w:r w:rsidRPr="00EF0EC5">
              <w:t>.1.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autoSpaceDE w:val="0"/>
              <w:autoSpaceDN w:val="0"/>
              <w:adjustRightInd w:val="0"/>
            </w:pPr>
            <w:r w:rsidRPr="00EF0EC5">
              <w:t>Наличие мероприятий по сохранению и укреплению здоровья воспитанников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bookmarkStart w:id="1" w:name="_Hlk99356214"/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fldChar w:fldCharType="begin"/>
            </w:r>
            <w:r>
              <w:instrText>HYPERLINK "https://vishenka-vs.nubex.ru/6373/"</w:instrText>
            </w:r>
            <w:r>
              <w:fldChar w:fldCharType="separate"/>
            </w:r>
            <w:r w:rsidRPr="00076F2E">
              <w:rPr>
                <w:rStyle w:val="a6"/>
              </w:rPr>
              <w:t>https://vishenka-vs.nubex.ru/6373/</w:t>
            </w:r>
            <w:r>
              <w:fldChar w:fldCharType="end"/>
            </w:r>
            <w:bookmarkEnd w:id="1"/>
            <w:r>
              <w:t xml:space="preserve"> 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4</w:t>
            </w:r>
            <w:r w:rsidRPr="00EF0EC5">
              <w:t>.2.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autoSpaceDE w:val="0"/>
              <w:autoSpaceDN w:val="0"/>
              <w:adjustRightInd w:val="0"/>
            </w:pPr>
            <w:r w:rsidRPr="00EF0EC5">
              <w:t>Обеспечение комплексной безопасности в ДОО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29" w:history="1">
              <w:r w:rsidRPr="00076F2E">
                <w:rPr>
                  <w:rStyle w:val="a6"/>
                </w:rPr>
                <w:t>https://vishenka-vs.nubex.ru/6373/</w:t>
              </w:r>
            </w:hyperlink>
            <w:r>
              <w:t xml:space="preserve">   </w:t>
            </w: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4</w:t>
            </w:r>
            <w:r w:rsidRPr="00EF0EC5">
              <w:t>.3.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autoSpaceDE w:val="0"/>
              <w:autoSpaceDN w:val="0"/>
              <w:adjustRightInd w:val="0"/>
            </w:pPr>
            <w:r w:rsidRPr="00EF0EC5">
              <w:t>Обеспечение качества услуг по присмотру и уходу за детьми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30" w:history="1">
              <w:r w:rsidRPr="008C621A">
                <w:rPr>
                  <w:rStyle w:val="a6"/>
                </w:rPr>
                <w:t>https://vishenka-vs.nubex.ru/sveden/objects/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rPr>
                <w:b/>
              </w:rPr>
              <w:t>5</w:t>
            </w:r>
            <w:r w:rsidRPr="00EF0EC5">
              <w:rPr>
                <w:b/>
              </w:rPr>
              <w:t>.</w:t>
            </w:r>
          </w:p>
        </w:tc>
        <w:tc>
          <w:tcPr>
            <w:tcW w:w="10744" w:type="dxa"/>
            <w:gridSpan w:val="6"/>
          </w:tcPr>
          <w:p w:rsidR="00B71E36" w:rsidRPr="00EF0EC5" w:rsidRDefault="00B71E36" w:rsidP="004361EA">
            <w:pPr>
              <w:tabs>
                <w:tab w:val="left" w:pos="4755"/>
              </w:tabs>
            </w:pPr>
            <w:r w:rsidRPr="00EF0EC5">
              <w:rPr>
                <w:b/>
              </w:rPr>
              <w:t>Повышение качества управления в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rPr>
                <w:b/>
              </w:rPr>
            </w:pPr>
          </w:p>
        </w:tc>
      </w:tr>
      <w:tr w:rsidR="00B71E36" w:rsidRPr="00EF0EC5" w:rsidTr="004361EA">
        <w:trPr>
          <w:trHeight w:val="728"/>
        </w:trPr>
        <w:tc>
          <w:tcPr>
            <w:tcW w:w="846" w:type="dxa"/>
            <w:vMerge w:val="restart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 w:val="restart"/>
          </w:tcPr>
          <w:p w:rsidR="00B71E36" w:rsidRPr="00EF0EC5" w:rsidRDefault="00B71E36" w:rsidP="004361EA">
            <w:pPr>
              <w:rPr>
                <w:b/>
              </w:rPr>
            </w:pPr>
          </w:p>
        </w:tc>
        <w:tc>
          <w:tcPr>
            <w:tcW w:w="4819" w:type="dxa"/>
            <w:gridSpan w:val="5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 w:rsidRPr="00EF0EC5">
              <w:t xml:space="preserve">Количество ДОО, в </w:t>
            </w:r>
            <w:proofErr w:type="gramStart"/>
            <w:r w:rsidRPr="00EF0EC5">
              <w:t>которых</w:t>
            </w:r>
            <w:proofErr w:type="gramEnd"/>
            <w:r w:rsidRPr="00EF0EC5">
              <w:t xml:space="preserve"> полностью подтвержден данный показатель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</w:p>
        </w:tc>
      </w:tr>
      <w:tr w:rsidR="00B71E36" w:rsidRPr="00EF0EC5" w:rsidTr="004361EA">
        <w:tc>
          <w:tcPr>
            <w:tcW w:w="846" w:type="dxa"/>
            <w:vMerge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  <w:rPr>
                <w:b/>
              </w:rPr>
            </w:pPr>
          </w:p>
        </w:tc>
        <w:tc>
          <w:tcPr>
            <w:tcW w:w="5925" w:type="dxa"/>
            <w:vMerge/>
          </w:tcPr>
          <w:p w:rsidR="00B71E36" w:rsidRPr="00EF0EC5" w:rsidRDefault="00B71E36" w:rsidP="004361E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>В абсолютных числах</w:t>
            </w:r>
          </w:p>
        </w:tc>
        <w:tc>
          <w:tcPr>
            <w:tcW w:w="2551" w:type="dxa"/>
            <w:gridSpan w:val="3"/>
          </w:tcPr>
          <w:p w:rsidR="00B71E36" w:rsidRPr="00EF0EC5" w:rsidRDefault="00B71E36" w:rsidP="004361EA">
            <w:pPr>
              <w:contextualSpacing/>
              <w:jc w:val="center"/>
              <w:rPr>
                <w:color w:val="000000"/>
              </w:rPr>
            </w:pPr>
            <w:r w:rsidRPr="00EF0EC5">
              <w:t xml:space="preserve">Доля </w:t>
            </w:r>
            <w:proofErr w:type="gramStart"/>
            <w:r w:rsidRPr="00EF0EC5">
              <w:t>в</w:t>
            </w:r>
            <w:proofErr w:type="gramEnd"/>
            <w:r w:rsidRPr="00EF0EC5">
              <w:t xml:space="preserve"> % </w:t>
            </w:r>
            <w:proofErr w:type="gramStart"/>
            <w:r w:rsidRPr="00EF0EC5">
              <w:t>от</w:t>
            </w:r>
            <w:proofErr w:type="gramEnd"/>
            <w:r w:rsidRPr="00EF0EC5">
              <w:t xml:space="preserve"> общего количества ДОО</w:t>
            </w:r>
          </w:p>
        </w:tc>
        <w:tc>
          <w:tcPr>
            <w:tcW w:w="3544" w:type="dxa"/>
          </w:tcPr>
          <w:p w:rsidR="00B71E36" w:rsidRPr="00EF0EC5" w:rsidRDefault="00B71E36" w:rsidP="004361EA">
            <w:pPr>
              <w:contextualSpacing/>
              <w:jc w:val="center"/>
            </w:pPr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5</w:t>
            </w:r>
            <w:r w:rsidRPr="00EF0EC5">
              <w:t>.1.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autoSpaceDE w:val="0"/>
              <w:autoSpaceDN w:val="0"/>
              <w:adjustRightInd w:val="0"/>
            </w:pPr>
            <w:r w:rsidRPr="00EF0EC5">
              <w:t>Наличие у руководителя требуемого профессионального</w:t>
            </w:r>
          </w:p>
          <w:p w:rsidR="00B71E36" w:rsidRPr="00EF0EC5" w:rsidRDefault="00B71E36" w:rsidP="004361EA">
            <w:pPr>
              <w:rPr>
                <w:b/>
              </w:rPr>
            </w:pPr>
            <w:r>
              <w:t>о</w:t>
            </w:r>
            <w:r w:rsidRPr="00EF0EC5">
              <w:t>бразования</w:t>
            </w:r>
            <w:r>
              <w:t>.</w:t>
            </w:r>
            <w:r w:rsidRPr="00EF0EC5"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0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31" w:history="1">
              <w:r w:rsidRPr="00097A1A">
                <w:rPr>
                  <w:rStyle w:val="a6"/>
                </w:rPr>
                <w:t>https://vishenka-vs.nubex.ru/sveden/employees/</w:t>
              </w:r>
            </w:hyperlink>
          </w:p>
        </w:tc>
      </w:tr>
      <w:tr w:rsidR="00B71E36" w:rsidRPr="00EF0EC5" w:rsidTr="004361EA"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5</w:t>
            </w:r>
            <w:r w:rsidRPr="00EF0EC5">
              <w:t>.2.</w:t>
            </w:r>
          </w:p>
        </w:tc>
        <w:tc>
          <w:tcPr>
            <w:tcW w:w="5925" w:type="dxa"/>
          </w:tcPr>
          <w:p w:rsidR="00B71E36" w:rsidRPr="00EF0EC5" w:rsidRDefault="00B71E36" w:rsidP="004361EA">
            <w:pPr>
              <w:autoSpaceDE w:val="0"/>
              <w:autoSpaceDN w:val="0"/>
              <w:adjustRightInd w:val="0"/>
            </w:pPr>
            <w:r w:rsidRPr="00EF0EC5">
              <w:t>Разработана и функционирует ВСОКО</w:t>
            </w:r>
            <w: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hyperlink r:id="rId32" w:history="1">
              <w:r w:rsidRPr="00097A1A">
                <w:rPr>
                  <w:rStyle w:val="a6"/>
                </w:rPr>
                <w:t>https://vishenka-vs.nubex.ru/8770/</w:t>
              </w:r>
            </w:hyperlink>
            <w:r>
              <w:t xml:space="preserve">  </w:t>
            </w:r>
          </w:p>
        </w:tc>
      </w:tr>
      <w:tr w:rsidR="00B71E36" w:rsidRPr="00EF0EC5" w:rsidTr="004361EA">
        <w:trPr>
          <w:trHeight w:val="391"/>
        </w:trPr>
        <w:tc>
          <w:tcPr>
            <w:tcW w:w="846" w:type="dxa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5</w:t>
            </w:r>
            <w:r w:rsidRPr="00EF0EC5">
              <w:t>.3.</w:t>
            </w:r>
          </w:p>
        </w:tc>
        <w:tc>
          <w:tcPr>
            <w:tcW w:w="5925" w:type="dxa"/>
          </w:tcPr>
          <w:p w:rsidR="00B71E36" w:rsidRPr="00EF0EC5" w:rsidRDefault="00B71E36" w:rsidP="004361EA">
            <w:r w:rsidRPr="00EF0EC5">
              <w:t>Наличие программы развития ДОО</w:t>
            </w:r>
            <w: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71E36" w:rsidRPr="00EF0EC5" w:rsidRDefault="00B71E36" w:rsidP="004361EA">
            <w:pPr>
              <w:tabs>
                <w:tab w:val="left" w:pos="4755"/>
              </w:tabs>
              <w:jc w:val="center"/>
            </w:pPr>
            <w:r>
              <w:t>100%</w:t>
            </w:r>
          </w:p>
        </w:tc>
        <w:tc>
          <w:tcPr>
            <w:tcW w:w="3544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 w:rsidRPr="00C36108">
              <w:t>https://vishenka-vs.nubex.ru/sveden/education/</w:t>
            </w:r>
          </w:p>
        </w:tc>
      </w:tr>
      <w:tr w:rsidR="00B71E36" w:rsidRPr="00EF0EC5" w:rsidTr="004361EA">
        <w:trPr>
          <w:trHeight w:val="391"/>
        </w:trPr>
        <w:tc>
          <w:tcPr>
            <w:tcW w:w="846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  <w:r>
              <w:t>6.</w:t>
            </w:r>
          </w:p>
        </w:tc>
        <w:tc>
          <w:tcPr>
            <w:tcW w:w="5925" w:type="dxa"/>
          </w:tcPr>
          <w:p w:rsidR="00B71E36" w:rsidRPr="00EF0EC5" w:rsidRDefault="00B71E36" w:rsidP="004361EA">
            <w:r>
              <w:t>Выявление успешных практик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B71E36" w:rsidRDefault="00B71E36" w:rsidP="004361EA">
            <w:pPr>
              <w:widowControl w:val="0"/>
              <w:spacing w:line="228" w:lineRule="auto"/>
              <w:ind w:left="855"/>
              <w:rPr>
                <w:lang w:bidi="ru-RU"/>
              </w:rPr>
            </w:pPr>
            <w:r w:rsidRPr="00204826">
              <w:rPr>
                <w:b/>
                <w:bCs/>
                <w:lang w:bidi="ru-RU"/>
              </w:rPr>
              <w:t>План описания</w:t>
            </w:r>
          </w:p>
        </w:tc>
      </w:tr>
      <w:tr w:rsidR="00B71E36" w:rsidRPr="00EF0EC5" w:rsidTr="004361EA">
        <w:trPr>
          <w:trHeight w:val="391"/>
        </w:trPr>
        <w:tc>
          <w:tcPr>
            <w:tcW w:w="846" w:type="dxa"/>
          </w:tcPr>
          <w:p w:rsidR="00B71E36" w:rsidRDefault="00B71E36" w:rsidP="004361EA">
            <w:pPr>
              <w:tabs>
                <w:tab w:val="left" w:pos="4755"/>
              </w:tabs>
              <w:jc w:val="center"/>
            </w:pPr>
          </w:p>
        </w:tc>
        <w:tc>
          <w:tcPr>
            <w:tcW w:w="5925" w:type="dxa"/>
          </w:tcPr>
          <w:p w:rsidR="00B71E36" w:rsidRDefault="00B71E36" w:rsidP="004361EA"/>
        </w:tc>
        <w:tc>
          <w:tcPr>
            <w:tcW w:w="8363" w:type="dxa"/>
            <w:gridSpan w:val="6"/>
            <w:shd w:val="clear" w:color="auto" w:fill="auto"/>
          </w:tcPr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55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Название практики.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91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ФИО автора-разработчика.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70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Населенный пункт.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84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Должность.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70"/>
                <w:tab w:val="left" w:pos="2271"/>
                <w:tab w:val="left" w:pos="4532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Полное</w:t>
            </w:r>
            <w:r w:rsidRPr="00204826">
              <w:rPr>
                <w:lang w:bidi="ru-RU"/>
              </w:rPr>
              <w:tab/>
              <w:t>наименование</w:t>
            </w:r>
            <w:r w:rsidRPr="00204826">
              <w:rPr>
                <w:lang w:bidi="ru-RU"/>
              </w:rPr>
              <w:tab/>
              <w:t>образовательной</w:t>
            </w:r>
            <w:r>
              <w:rPr>
                <w:lang w:bidi="ru-RU"/>
              </w:rPr>
              <w:t xml:space="preserve"> </w:t>
            </w:r>
            <w:r w:rsidRPr="00204826">
              <w:rPr>
                <w:lang w:bidi="ru-RU"/>
              </w:rPr>
              <w:t>организации.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77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Годы реализации.</w:t>
            </w:r>
          </w:p>
          <w:p w:rsidR="00B71E36" w:rsidRPr="0020482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77"/>
                <w:tab w:val="left" w:pos="2868"/>
                <w:tab w:val="left" w:pos="4791"/>
              </w:tabs>
              <w:ind w:firstLine="280"/>
              <w:rPr>
                <w:lang w:bidi="ru-RU"/>
              </w:rPr>
            </w:pPr>
            <w:r w:rsidRPr="00204826">
              <w:rPr>
                <w:lang w:bidi="ru-RU"/>
              </w:rPr>
              <w:t>Аннотация</w:t>
            </w:r>
            <w:r>
              <w:rPr>
                <w:lang w:bidi="ru-RU"/>
              </w:rPr>
              <w:t xml:space="preserve"> практики </w:t>
            </w:r>
            <w:r w:rsidRPr="00204826">
              <w:rPr>
                <w:lang w:bidi="ru-RU"/>
              </w:rPr>
              <w:t>(актуальность,</w:t>
            </w:r>
            <w:r>
              <w:rPr>
                <w:lang w:bidi="ru-RU"/>
              </w:rPr>
              <w:t xml:space="preserve"> оригинальность, </w:t>
            </w:r>
            <w:r w:rsidRPr="00204826">
              <w:rPr>
                <w:lang w:bidi="ru-RU"/>
              </w:rPr>
              <w:t>результативность).</w:t>
            </w:r>
          </w:p>
          <w:p w:rsidR="00B71E3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13"/>
              </w:tabs>
              <w:ind w:firstLine="300"/>
              <w:rPr>
                <w:lang w:bidi="ru-RU"/>
              </w:rPr>
            </w:pPr>
            <w:r w:rsidRPr="00204826">
              <w:rPr>
                <w:lang w:bidi="ru-RU"/>
              </w:rPr>
              <w:t>Ссылки на публикации (издания и в сети Интернет).</w:t>
            </w:r>
          </w:p>
          <w:p w:rsidR="00B71E36" w:rsidRDefault="00B71E36" w:rsidP="00B71E36">
            <w:pPr>
              <w:widowControl w:val="0"/>
              <w:numPr>
                <w:ilvl w:val="0"/>
                <w:numId w:val="2"/>
              </w:numPr>
              <w:tabs>
                <w:tab w:val="left" w:pos="713"/>
              </w:tabs>
              <w:ind w:firstLine="300"/>
              <w:rPr>
                <w:lang w:bidi="ru-RU"/>
              </w:rPr>
            </w:pPr>
            <w:r w:rsidRPr="00204826">
              <w:rPr>
                <w:lang w:bidi="ru-RU"/>
              </w:rPr>
              <w:t>Диссеминация практики (выступления на МО, конференциях, проведение</w:t>
            </w:r>
            <w:r w:rsidRPr="00575A5C">
              <w:rPr>
                <w:sz w:val="26"/>
                <w:szCs w:val="26"/>
                <w:lang w:bidi="ru-RU"/>
              </w:rPr>
              <w:t xml:space="preserve"> мастер-</w:t>
            </w:r>
            <w:r w:rsidRPr="00575A5C">
              <w:rPr>
                <w:szCs w:val="26"/>
                <w:lang w:bidi="ru-RU"/>
              </w:rPr>
              <w:t>классов и др.).</w:t>
            </w:r>
          </w:p>
        </w:tc>
      </w:tr>
    </w:tbl>
    <w:p w:rsidR="00B71E36" w:rsidRPr="00204826" w:rsidRDefault="00B71E36" w:rsidP="00B71E36">
      <w:pPr>
        <w:pStyle w:val="a7"/>
        <w:tabs>
          <w:tab w:val="clear" w:pos="4153"/>
        </w:tabs>
        <w:rPr>
          <w:color w:val="000000"/>
          <w:sz w:val="28"/>
          <w:szCs w:val="28"/>
          <w:lang w:eastAsia="ar-SA"/>
        </w:rPr>
      </w:pPr>
    </w:p>
    <w:p w:rsidR="007565C2" w:rsidRDefault="007565C2"/>
    <w:sectPr w:rsidR="007565C2" w:rsidSect="00B71E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4B8"/>
    <w:multiLevelType w:val="multilevel"/>
    <w:tmpl w:val="BFB64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41BD0"/>
    <w:multiLevelType w:val="multilevel"/>
    <w:tmpl w:val="97589A9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E36"/>
    <w:rsid w:val="00142661"/>
    <w:rsid w:val="007565C2"/>
    <w:rsid w:val="00B7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E36"/>
    <w:pPr>
      <w:ind w:left="708"/>
    </w:pPr>
  </w:style>
  <w:style w:type="paragraph" w:styleId="a5">
    <w:name w:val="No Spacing"/>
    <w:uiPriority w:val="1"/>
    <w:qFormat/>
    <w:rsid w:val="00B71E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6">
    <w:name w:val="Hyperlink"/>
    <w:uiPriority w:val="99"/>
    <w:rsid w:val="00B71E36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71E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B71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7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B71E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henka-vs.nubex.ru/sveden/education/" TargetMode="External"/><Relationship Id="rId13" Type="http://schemas.openxmlformats.org/officeDocument/2006/relationships/hyperlink" Target="https://vishenka-vs.nubex.ru/sveden/employees/" TargetMode="External"/><Relationship Id="rId18" Type="http://schemas.openxmlformats.org/officeDocument/2006/relationships/hyperlink" Target="https://vishenka-vs.nubex.ru/sveden/objects/" TargetMode="External"/><Relationship Id="rId26" Type="http://schemas.openxmlformats.org/officeDocument/2006/relationships/hyperlink" Target="https://vishenka-vs.nubex.ru/752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shenka-vs.nubex.ru/877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ishenka-vs.nubex.ru/sveden/ovz/" TargetMode="External"/><Relationship Id="rId12" Type="http://schemas.openxmlformats.org/officeDocument/2006/relationships/hyperlink" Target="https://vishenka-vs.nubex.ru/sveden/employees/" TargetMode="External"/><Relationship Id="rId17" Type="http://schemas.openxmlformats.org/officeDocument/2006/relationships/hyperlink" Target="https://vishenka-vs.nubex.ru/sveden/objects/" TargetMode="External"/><Relationship Id="rId25" Type="http://schemas.openxmlformats.org/officeDocument/2006/relationships/hyperlink" Target="https://vishenka-vs.nubex.ru/sveden/documen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shenka-vs.nubex.ru/sveden/objects/" TargetMode="External"/><Relationship Id="rId20" Type="http://schemas.openxmlformats.org/officeDocument/2006/relationships/hyperlink" Target="https://vishenka-vs.nubex.ru/sveden/objects/" TargetMode="External"/><Relationship Id="rId29" Type="http://schemas.openxmlformats.org/officeDocument/2006/relationships/hyperlink" Target="https://vishenka-vs.nubex.ru/637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shenka-vs.nubex.ru/sveden/education/" TargetMode="External"/><Relationship Id="rId11" Type="http://schemas.openxmlformats.org/officeDocument/2006/relationships/hyperlink" Target="https://vishenka-vs.nubex.ru/sveden/employees/" TargetMode="External"/><Relationship Id="rId24" Type="http://schemas.openxmlformats.org/officeDocument/2006/relationships/hyperlink" Target="https://vishenka-vs.nubex.ru/8770/" TargetMode="External"/><Relationship Id="rId32" Type="http://schemas.openxmlformats.org/officeDocument/2006/relationships/hyperlink" Target="https://vishenka-vs.nubex.ru/8770/" TargetMode="External"/><Relationship Id="rId5" Type="http://schemas.openxmlformats.org/officeDocument/2006/relationships/hyperlink" Target="https://vishenka-vs.nubex.ru/sveden/education/" TargetMode="External"/><Relationship Id="rId15" Type="http://schemas.openxmlformats.org/officeDocument/2006/relationships/hyperlink" Target="https://vishenka-vs.nubex.ru/sveden/objects/" TargetMode="External"/><Relationship Id="rId23" Type="http://schemas.openxmlformats.org/officeDocument/2006/relationships/hyperlink" Target="https://vishenka-vs.nubex.ru/8770/" TargetMode="External"/><Relationship Id="rId28" Type="http://schemas.openxmlformats.org/officeDocument/2006/relationships/hyperlink" Target="https://vishenka-vs.nubex.ru/8770/" TargetMode="External"/><Relationship Id="rId10" Type="http://schemas.openxmlformats.org/officeDocument/2006/relationships/hyperlink" Target="https://vishenka-vs.nubex.ru/sveden/employees/" TargetMode="External"/><Relationship Id="rId19" Type="http://schemas.openxmlformats.org/officeDocument/2006/relationships/hyperlink" Target="https://vishenka-vs.nubex.ru/sveden/ovz/" TargetMode="External"/><Relationship Id="rId31" Type="http://schemas.openxmlformats.org/officeDocument/2006/relationships/hyperlink" Target="https://vishenka-vs.nubex.ru/sveden/employ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henka-vs.nubex.ru/sveden/employees/" TargetMode="External"/><Relationship Id="rId14" Type="http://schemas.openxmlformats.org/officeDocument/2006/relationships/hyperlink" Target="https://vishenka-vs.nubex.ru/sveden/employees/" TargetMode="External"/><Relationship Id="rId22" Type="http://schemas.openxmlformats.org/officeDocument/2006/relationships/hyperlink" Target="https://vishenka-vs.nubex.ru/8770/" TargetMode="External"/><Relationship Id="rId27" Type="http://schemas.openxmlformats.org/officeDocument/2006/relationships/hyperlink" Target="https://vishenka-vs.nubex.ru/8770/" TargetMode="External"/><Relationship Id="rId30" Type="http://schemas.openxmlformats.org/officeDocument/2006/relationships/hyperlink" Target="https://vishenka-vs.nubex.ru/sveden/ob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1309</Words>
  <Characters>7467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2023-03-23T12:32:00Z</dcterms:created>
  <dcterms:modified xsi:type="dcterms:W3CDTF">2023-03-23T12:33:00Z</dcterms:modified>
</cp:coreProperties>
</file>