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06" w:type="dxa"/>
        <w:tblLayout w:type="fixed"/>
        <w:tblLook w:val="01E0"/>
      </w:tblPr>
      <w:tblGrid>
        <w:gridCol w:w="10206"/>
      </w:tblGrid>
      <w:tr w:rsidR="00D3203F">
        <w:trPr>
          <w:trHeight w:val="322"/>
        </w:trPr>
        <w:tc>
          <w:tcPr>
            <w:tcW w:w="1020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03F" w:rsidRPr="00CB42C6" w:rsidRDefault="00CB42C6" w:rsidP="00CB42C6">
            <w:pPr>
              <w:jc w:val="right"/>
              <w:rPr>
                <w:color w:val="000000"/>
                <w:sz w:val="24"/>
                <w:szCs w:val="24"/>
              </w:rPr>
            </w:pPr>
            <w:r w:rsidRPr="00CB42C6">
              <w:rPr>
                <w:color w:val="000000"/>
                <w:sz w:val="24"/>
                <w:szCs w:val="24"/>
              </w:rPr>
              <w:t>Приложение 4.1</w:t>
            </w:r>
          </w:p>
        </w:tc>
      </w:tr>
      <w:tr w:rsidR="00D3203F">
        <w:trPr>
          <w:trHeight w:val="276"/>
        </w:trPr>
        <w:tc>
          <w:tcPr>
            <w:tcW w:w="1020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42C6" w:rsidRDefault="00CB42C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B42C6" w:rsidRDefault="009B3D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Раздел 3 </w:t>
            </w:r>
          </w:p>
          <w:p w:rsidR="00D3203F" w:rsidRDefault="009B3DA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«Анализ отчета об исполнении учреждением плана его деятельности»</w:t>
            </w:r>
          </w:p>
        </w:tc>
      </w:tr>
      <w:tr w:rsidR="00D3203F">
        <w:trPr>
          <w:trHeight w:val="230"/>
        </w:trPr>
        <w:tc>
          <w:tcPr>
            <w:tcW w:w="1020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206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206"/>
            </w:tblGrid>
            <w:tr w:rsidR="00D3203F">
              <w:tc>
                <w:tcPr>
                  <w:tcW w:w="10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В отчетном периоде сумма полученного дохода учреждением составила 191 119 431,02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Полученный доход по субсидии на выполнения государственного задания 117 278 600,00 рублей, в т.ч. в разрезе заданий: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2497895,31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1399948,79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3.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5106118,59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4.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3060810,34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5.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2955342,74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6.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6954594,26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7.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7163195,68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8.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995666,45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9.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8720407,88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10.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3264522,94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11.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2314818,85 рублей.        f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поступлении.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12. Реализация основных профессиональных образовательных программ среднего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профессионального образования- программ подготовки специалистов среднего звена 8739780,80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13.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6329179,61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14.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4107124,12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15.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1263921,68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16.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6413463,95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17.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7099821,77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18.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8272938,16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19.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8399692,75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20.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3145065,14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21.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2765498,47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22.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1135486,24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23. Содержание (эксплуатация) имущества, находящегося в государственной(муниципальной собственности) собственности14035805,48        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Полученный доход от приносящей доход деятельности составляет 52 711 724,50 рублей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Полученный доход по субсидии на иные цели 21 129 106,52 рублей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Расходы, произведенные учреждением в отчетном периоде составили 192 794 816,34 рублей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Текущие расходы по субсидии на выполнения государственного задания 117 278 600,00 рублей, в т.ч. в разрезе заданий: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2497895,31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2.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1399948,79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3.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5106118,59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4.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3060810,34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5.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2955342,74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6.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6954594,26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7.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7163195,68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8. Реализация основных профессиональных образовательных программ среднего профессионального образования программ подготовки квалифицированных рабочих, служащих 995666,45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9.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8720407,88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10.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3264522,94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11. Реализация основных профессиональных образовательных программ среднего профессионального образования программ подготовки специалистов среднего звена 2314818,85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12.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8739780,80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13.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6329179,61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14.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4107124,12 рублей.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15.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1263921,68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16.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6413463,95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17.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7099821,77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18.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8272938,16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19.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8399692,75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20.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3145065,14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21.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2765498,47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22. Реализация основных профессиональных образовательных программ среднего профессионального образования- программ подготовки специалистов среднего звена (очная) 1135486,24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23. Содержание (эксплуатация) имущества, находящегося в государственной(муниципальной собственности) собственности14035805,48        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Процент выполнения задания составляет 100 % от запланированных поступлений.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Расход от приносящей доход деятельности составил 54 277 072,41 рублей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Расход по субсидии на иные цели составил 21 239 143,93 рублей.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В отчетном году на счета учреждения поступило: 191 119 431,02 рублей, в том числе: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Субсидия на выполнение государственного задания 117 278 600,00 руб.;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Субсидия на иные цели 21 129 106,52 рублей;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Средства от приносящей доход деятельности 52 711 724,50 рублей;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Субсидия на выполнение государственного задания в 2021 году учреждению выделилась в размере 117 278 600,00 руб.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206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041"/>
                    <w:gridCol w:w="2041"/>
                    <w:gridCol w:w="2041"/>
                    <w:gridCol w:w="2041"/>
                    <w:gridCol w:w="2042"/>
                  </w:tblGrid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Финансирование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Остаток на 01.01.2021 г.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Кассовый</w:t>
                        </w:r>
                      </w:p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расход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Остаток средств на счете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%</w:t>
                        </w:r>
                      </w:p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исполнения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117 278 600,00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117 278 600,00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100%</w:t>
                        </w:r>
                      </w:p>
                    </w:tc>
                  </w:tr>
                </w:tbl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Субсидия на выполнение государственного задания в 2021 году освоена в 100% объеме.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Субсидия на иные цели в 2021 году учреждению выделилась в размере 21 188 942,52 руб, в том числе Предоставление мер поддержки обучающимся государственных образовательных организаций: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-           обеспечение питанием отдельных категорий обучающихся государственных учреждений 5 752 100,00 руб.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-           выплата социальных и академических стипендий обучающимся государственных учреждений 4 293 900,00 руб.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-           полное государственное обеспечение (за исключением обеспечения питанием), дополнительные гарантии по социальной поддержке при получении профессионального образования и (или) при прохождении профессионального обучения, меры социальной поддержки и социального обслуживания обучающихся с ограниченными возможностями здоровья 2 256 600,00 руб.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Выплата компенсации расходов на оплату стоимости проезда и провоза багажа к месту использования отпуска и обратно для лиц, работающих в районах Крайнего Северах и приравненных к ним местностям 467 484,52 руб.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На реализацию мероприятий по ежемесячному денежному вознаграждению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2 019 402,00 руб.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Реализация проектов и программ движения "Ворлдскиллс Россия" на территории Республики Карелия, в том числе проведение регионального чемпионата профессионального мастерства по стандартам "Ворлдскиллс" 3 140 700,00 руб.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Реализация мероприятий государственной программы Республики Карелия "Развитие системы защиты населения и территории от последствий чрезвычайных ситуаций, профилактика правонарушений и терроризма" 198 920,00 руб.</w:t>
                  </w: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Проведение ремонта оборудования зданий, сооружений и других объектов недвижимого имущества в целях обеспечения основных видов деятельности автономных, бюджетных организаций (ремонт мастерских) 3 000 000,00 руб.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Реализованы мероприятия по субсидии на иные цели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206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2041"/>
                    <w:gridCol w:w="2041"/>
                    <w:gridCol w:w="2041"/>
                    <w:gridCol w:w="2041"/>
                    <w:gridCol w:w="2042"/>
                  </w:tblGrid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Финансирование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Остаток на 01.01.2021 г.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Кассовый расход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Остаток средств на счете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% исполнения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5 752 100,00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5 752 100,00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100%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4 293 900,00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4 293 900,00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100%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2 256 600,00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2 256 600,00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100%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467 484,52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467 484,52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100%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2 079 238,00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2 019 402,00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59 836,00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97%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3 140 700,00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3 140 700,00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100%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198 920,00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151 920,00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47 000,00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76%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3 000 000,00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2 222 923,50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777 076,50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74%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934 113,91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934113,91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#ДЕЛ/0!</w:t>
                        </w:r>
                      </w:p>
                    </w:tc>
                  </w:tr>
                  <w:tr w:rsidR="00D3203F"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21 188 942,52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934113,91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21 239 143,93</w:t>
                        </w:r>
                      </w:p>
                    </w:tc>
                    <w:tc>
                      <w:tcPr>
                        <w:tcW w:w="20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883 912,50</w:t>
                        </w:r>
                      </w:p>
                    </w:tc>
                    <w:tc>
                      <w:tcPr>
                        <w:tcW w:w="204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100%</w:t>
                        </w:r>
                      </w:p>
                    </w:tc>
                  </w:tr>
                </w:tbl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Анализ источников поступлений денежных средств от оказания платных услуг и иной приносящей доход деятельности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10206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1458"/>
                    <w:gridCol w:w="1458"/>
                    <w:gridCol w:w="1458"/>
                    <w:gridCol w:w="1458"/>
                    <w:gridCol w:w="1458"/>
                    <w:gridCol w:w="1458"/>
                    <w:gridCol w:w="1458"/>
                  </w:tblGrid>
                  <w:tr w:rsidR="00D3203F"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Наименование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План, руб.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Факт, руб.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% исполнения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Остаток на 01.01.2021 г.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Кассовый расход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Остаток средств на счете</w:t>
                        </w:r>
                      </w:p>
                    </w:tc>
                  </w:tr>
                  <w:tr w:rsidR="00D3203F"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3"/>
                            <w:szCs w:val="23"/>
                          </w:rPr>
                          <w:t>Доход от оказания платных услуг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53 671353,16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52 711 724,50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</w:tr>
                  <w:tr w:rsidR="00D3203F"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3"/>
                            <w:szCs w:val="23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</w:tr>
                  <w:tr w:rsidR="00D3203F"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3"/>
                            <w:szCs w:val="23"/>
                          </w:rPr>
                          <w:t>доходы от собственности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297 170,54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297 170,54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100%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</w:tr>
                  <w:tr w:rsidR="00D3203F"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3"/>
                            <w:szCs w:val="23"/>
                          </w:rPr>
                          <w:t>доходы от оказания платных услуг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56 289 183,62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55 329 554,96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98%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</w:tr>
                  <w:tr w:rsidR="00D3203F"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3"/>
                            <w:szCs w:val="23"/>
                          </w:rPr>
                          <w:t>гранты и пожертвования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301 500,00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301 500,00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100%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</w:tr>
                  <w:tr w:rsidR="00D3203F"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3"/>
                            <w:szCs w:val="23"/>
                          </w:rPr>
                          <w:t>доходы от возмещения Фондом социального страхования РФ расходов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31 401,00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31 401,00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100%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</w:tr>
                  <w:tr w:rsidR="00D3203F"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23"/>
                            <w:szCs w:val="23"/>
                          </w:rPr>
                          <w:t>Выплаты, уменьшающие доход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-3 247 902,00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3 247 902,00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100%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D3203F">
                        <w:pPr>
                          <w:jc w:val="both"/>
                        </w:pPr>
                      </w:p>
                      <w:p w:rsidR="00D3203F" w:rsidRDefault="00D3203F">
                        <w:pPr>
                          <w:jc w:val="both"/>
                        </w:pPr>
                      </w:p>
                    </w:tc>
                  </w:tr>
                  <w:tr w:rsidR="00D3203F"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b/>
                            <w:bCs/>
                            <w:color w:val="000000"/>
                            <w:sz w:val="23"/>
                            <w:szCs w:val="23"/>
                          </w:rPr>
                          <w:t>ВСЕГО: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53 671 353,16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52 711 724,50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  <w:sz w:val="18"/>
                            <w:szCs w:val="18"/>
                          </w:rPr>
                          <w:t>98%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</w:rPr>
                          <w:t>1 655 558,20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</w:rPr>
                          <w:t>54 277072,41</w:t>
                        </w:r>
                      </w:p>
                    </w:tc>
                    <w:tc>
                      <w:tcPr>
                        <w:tcW w:w="145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</w:tcPr>
                      <w:p w:rsidR="00D3203F" w:rsidRDefault="009B3DAE">
                        <w:pPr>
                          <w:jc w:val="both"/>
                        </w:pPr>
                        <w:r>
                          <w:rPr>
                            <w:color w:val="000000"/>
                          </w:rPr>
                          <w:t>140 210,29</w:t>
                        </w:r>
                      </w:p>
                    </w:tc>
                  </w:tr>
                </w:tbl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Анализ источников и динамики поступлений средств от оказания платных услуг и иной </w:t>
                  </w:r>
                  <w:r>
                    <w:rPr>
                      <w:color w:val="000000"/>
                      <w:sz w:val="24"/>
                      <w:szCs w:val="24"/>
                    </w:rPr>
                    <w:lastRenderedPageBreak/>
                    <w:t>приносящей доход деятельности в сравнении с 2021 годом:</w:t>
                  </w: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rPr>
                      <w:vanish/>
                    </w:rPr>
                  </w:pPr>
                </w:p>
                <w:tbl>
                  <w:tblPr>
                    <w:tblOverlap w:val="never"/>
                    <w:tblW w:w="8805" w:type="dxa"/>
                    <w:tblBorders>
                      <w:top w:val="single" w:sz="0" w:space="0" w:color="000000"/>
                      <w:left w:val="single" w:sz="0" w:space="0" w:color="000000"/>
                      <w:bottom w:val="single" w:sz="0" w:space="0" w:color="000000"/>
                      <w:right w:val="single" w:sz="0" w:space="0" w:color="000000"/>
                    </w:tblBorders>
                    <w:tblLayout w:type="fixed"/>
                    <w:tblLook w:val="01E0"/>
                  </w:tblPr>
                  <w:tblGrid>
                    <w:gridCol w:w="2935"/>
                    <w:gridCol w:w="2935"/>
                    <w:gridCol w:w="2935"/>
                  </w:tblGrid>
                  <w:tr w:rsidR="00D3203F"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Источник поступления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2020 год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center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2021 год</w:t>
                        </w:r>
                      </w:p>
                    </w:tc>
                  </w:tr>
                  <w:tr w:rsidR="00D3203F"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Средства от оказания платных услуг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D3203F"/>
                      <w:p w:rsidR="00D3203F" w:rsidRDefault="00D3203F"/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D3203F"/>
                      <w:p w:rsidR="00D3203F" w:rsidRDefault="00D3203F"/>
                    </w:tc>
                  </w:tr>
                  <w:tr w:rsidR="00D3203F"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1 квартал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7 089 005,68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27 621 218,95</w:t>
                        </w:r>
                      </w:p>
                    </w:tc>
                  </w:tr>
                  <w:tr w:rsidR="00D3203F"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 квартал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3 529 482,89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8 105 294,27</w:t>
                        </w:r>
                      </w:p>
                    </w:tc>
                  </w:tr>
                  <w:tr w:rsidR="00D3203F"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3 квартал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6 656 755,70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7 737 364,08</w:t>
                        </w:r>
                      </w:p>
                    </w:tc>
                  </w:tr>
                  <w:tr w:rsidR="00D3203F"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 квартал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8 553 071,50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9 247 847,20</w:t>
                        </w:r>
                      </w:p>
                    </w:tc>
                  </w:tr>
                  <w:tr w:rsidR="00D3203F"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Всего: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25 828 315,77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52 711 724,50</w:t>
                        </w:r>
                      </w:p>
                    </w:tc>
                  </w:tr>
                  <w:tr w:rsidR="00D3203F"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в т.ч. Грант в форме субсидии на обеспечение соответствия  материально-технической базы профессиональных образовательных организаций современным требованиям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0,00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21 202 000,00</w:t>
                        </w:r>
                      </w:p>
                    </w:tc>
                  </w:tr>
                  <w:tr w:rsidR="00D3203F"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Доходы без Гранта составили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25 828 315,77</w:t>
                        </w:r>
                      </w:p>
                    </w:tc>
                    <w:tc>
                      <w:tcPr>
                        <w:tcW w:w="2935" w:type="dxa"/>
                        <w:tcBorders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tcBorders>
                        <w:tcMar>
                          <w:top w:w="0" w:type="dxa"/>
                          <w:left w:w="100" w:type="dxa"/>
                          <w:bottom w:w="0" w:type="dxa"/>
                          <w:right w:w="100" w:type="dxa"/>
                        </w:tcMar>
                        <w:vAlign w:val="bottom"/>
                      </w:tcPr>
                      <w:p w:rsidR="00D3203F" w:rsidRDefault="009B3DAE">
                        <w:pPr>
                          <w:jc w:val="right"/>
                        </w:pP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31 509 724,50</w:t>
                        </w:r>
                      </w:p>
                    </w:tc>
                  </w:tr>
                </w:tbl>
                <w:p w:rsidR="00D3203F" w:rsidRDefault="00D3203F">
                  <w:pPr>
                    <w:jc w:val="both"/>
                  </w:pPr>
                </w:p>
                <w:p w:rsidR="00D3203F" w:rsidRDefault="00D3203F">
                  <w:pPr>
                    <w:jc w:val="both"/>
                  </w:pPr>
                </w:p>
                <w:p w:rsidR="00D3203F" w:rsidRDefault="009B3DAE">
                  <w:pPr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Доходы от предпринимательской деятельности в 2021 году без учета Гранта по отношению к 2020 году увеличились на 22,0 % это связано с распространением в 2020 году коронавирусной инфекции (COVID-19).</w:t>
                  </w:r>
                </w:p>
              </w:tc>
            </w:tr>
          </w:tbl>
          <w:p w:rsidR="00D3203F" w:rsidRDefault="00D3203F">
            <w:pPr>
              <w:spacing w:line="1" w:lineRule="auto"/>
            </w:pPr>
          </w:p>
        </w:tc>
      </w:tr>
      <w:tr w:rsidR="00D3203F">
        <w:trPr>
          <w:trHeight w:val="322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203F" w:rsidRDefault="009B3DA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</w:tr>
    </w:tbl>
    <w:p w:rsidR="009B3DAE" w:rsidRDefault="009B3DAE"/>
    <w:sectPr w:rsidR="009B3DAE" w:rsidSect="00D3203F">
      <w:headerReference w:type="default" r:id="rId6"/>
      <w:footerReference w:type="default" r:id="rId7"/>
      <w:pgSz w:w="11905" w:h="16837"/>
      <w:pgMar w:top="1133" w:right="566" w:bottom="1133" w:left="1133" w:header="1133" w:footer="11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950" w:rsidRDefault="003A5950" w:rsidP="00D3203F">
      <w:r>
        <w:separator/>
      </w:r>
    </w:p>
  </w:endnote>
  <w:endnote w:type="continuationSeparator" w:id="1">
    <w:p w:rsidR="003A5950" w:rsidRDefault="003A5950" w:rsidP="00D320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D3203F">
      <w:tc>
        <w:tcPr>
          <w:tcW w:w="10421" w:type="dxa"/>
        </w:tcPr>
        <w:p w:rsidR="00D3203F" w:rsidRDefault="00D3203F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950" w:rsidRDefault="003A5950" w:rsidP="00D3203F">
      <w:r>
        <w:separator/>
      </w:r>
    </w:p>
  </w:footnote>
  <w:footnote w:type="continuationSeparator" w:id="1">
    <w:p w:rsidR="003A5950" w:rsidRDefault="003A5950" w:rsidP="00D320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D3203F">
      <w:tc>
        <w:tcPr>
          <w:tcW w:w="10421" w:type="dxa"/>
        </w:tcPr>
        <w:p w:rsidR="00D3203F" w:rsidRDefault="00D3203F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03F"/>
    <w:rsid w:val="003A5950"/>
    <w:rsid w:val="003F1009"/>
    <w:rsid w:val="006216C1"/>
    <w:rsid w:val="00644520"/>
    <w:rsid w:val="009B3DAE"/>
    <w:rsid w:val="00CB42C6"/>
    <w:rsid w:val="00D1615B"/>
    <w:rsid w:val="00D3203F"/>
    <w:rsid w:val="00DC2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320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2556</Words>
  <Characters>14571</Characters>
  <Application>Microsoft Office Word</Application>
  <DocSecurity>0</DocSecurity>
  <Lines>121</Lines>
  <Paragraphs>34</Paragraphs>
  <ScaleCrop>false</ScaleCrop>
  <Company/>
  <LinksUpToDate>false</LinksUpToDate>
  <CharactersWithSpaces>17093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2022-03-14T07:02:00Z</dcterms:created>
  <dcterms:modified xsi:type="dcterms:W3CDTF">2022-03-15T06:38:00Z</dcterms:modified>
</cp:coreProperties>
</file>