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D0" w:rsidRPr="002904B2" w:rsidRDefault="00CA2FD0" w:rsidP="00290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04B2">
        <w:rPr>
          <w:rFonts w:ascii="Times New Roman" w:hAnsi="Times New Roman" w:cs="Times New Roman"/>
          <w:b/>
          <w:sz w:val="24"/>
          <w:szCs w:val="24"/>
        </w:rPr>
        <w:t>ОГЭ</w:t>
      </w:r>
    </w:p>
    <w:p w:rsidR="00FF5A34" w:rsidRPr="002904B2" w:rsidRDefault="00CA2FD0" w:rsidP="00290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4B2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CA2FD0" w:rsidRPr="00383BB4" w:rsidRDefault="00CA2FD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83BB4">
        <w:rPr>
          <w:rFonts w:ascii="Times New Roman" w:hAnsi="Times New Roman" w:cs="Times New Roman"/>
          <w:b/>
          <w:i/>
          <w:sz w:val="24"/>
          <w:szCs w:val="24"/>
        </w:rPr>
        <w:t>1.1. Характеристика контрольно-измерительных материалов по предмету «математика»</w:t>
      </w:r>
      <w:r w:rsidR="001B1083" w:rsidRPr="00383BB4">
        <w:rPr>
          <w:rFonts w:ascii="Times New Roman" w:hAnsi="Times New Roman" w:cs="Times New Roman"/>
          <w:b/>
          <w:i/>
          <w:sz w:val="24"/>
          <w:szCs w:val="24"/>
        </w:rPr>
        <w:t xml:space="preserve"> 2019 года</w:t>
      </w:r>
    </w:p>
    <w:p w:rsidR="00CA2FD0" w:rsidRPr="00CA2FD0" w:rsidRDefault="00051F94" w:rsidP="00CA2FD0">
      <w:pPr>
        <w:pStyle w:val="a3"/>
        <w:spacing w:before="204" w:beforeAutospacing="0" w:after="204" w:afterAutospacing="0"/>
        <w:rPr>
          <w:color w:val="000000"/>
        </w:rPr>
      </w:pPr>
      <w:r>
        <w:rPr>
          <w:color w:val="000000"/>
        </w:rPr>
        <w:t>Работа состояла</w:t>
      </w:r>
      <w:r w:rsidR="00CA2FD0" w:rsidRPr="00CA2FD0">
        <w:rPr>
          <w:color w:val="000000"/>
        </w:rPr>
        <w:t xml:space="preserve"> из двух модулей: «Алгебра» и «Геометрия». </w:t>
      </w:r>
      <w:proofErr w:type="gramStart"/>
      <w:r w:rsidR="00CA2FD0" w:rsidRPr="00CA2FD0">
        <w:rPr>
          <w:color w:val="000000"/>
        </w:rPr>
        <w:t>В каждом модуле две части, соответствующие проверке на базовом и повышенном уровнях.</w:t>
      </w:r>
      <w:proofErr w:type="gramEnd"/>
      <w:r w:rsidR="00CA2FD0" w:rsidRPr="00CA2FD0">
        <w:rPr>
          <w:color w:val="000000"/>
        </w:rPr>
        <w:br/>
        <w:t xml:space="preserve">При проверке базовой математической </w:t>
      </w:r>
      <w:proofErr w:type="gramStart"/>
      <w:r w:rsidR="00CA2FD0" w:rsidRPr="00CA2FD0">
        <w:rPr>
          <w:color w:val="000000"/>
        </w:rPr>
        <w:t>компетентности</w:t>
      </w:r>
      <w:proofErr w:type="gramEnd"/>
      <w:r w:rsidR="00CA2FD0" w:rsidRPr="00CA2FD0">
        <w:rPr>
          <w:color w:val="000000"/>
        </w:rPr>
        <w:t xml:space="preserve"> обучающиеся должны</w:t>
      </w:r>
      <w:r>
        <w:rPr>
          <w:color w:val="000000"/>
        </w:rPr>
        <w:t xml:space="preserve"> были</w:t>
      </w:r>
      <w:r w:rsidR="00CA2FD0" w:rsidRPr="00CA2FD0">
        <w:rPr>
          <w:color w:val="000000"/>
        </w:rPr>
        <w:t xml:space="preserve"> продемонстрировать владение основными алгоритмами, знание и понимание ключевых элементов содержания (математических понятий, их свойств, приёмов решения задач и проч.), умение пользоваться математической записью, применять знания к решению математических задач, не сводящихся к прямому применению алгоритма, а также применять математические знания в простейших практических ситуациях.</w:t>
      </w:r>
    </w:p>
    <w:p w:rsidR="00CA2FD0" w:rsidRPr="00CA2FD0" w:rsidRDefault="00CA2FD0" w:rsidP="00CA2FD0">
      <w:pPr>
        <w:pStyle w:val="a3"/>
        <w:spacing w:before="204" w:beforeAutospacing="0" w:after="204" w:afterAutospacing="0"/>
        <w:rPr>
          <w:color w:val="000000"/>
        </w:rPr>
      </w:pPr>
      <w:r w:rsidRPr="00CA2FD0">
        <w:rPr>
          <w:color w:val="000000"/>
        </w:rPr>
        <w:t>Части 2 модулей «Алгебра» и «Геометрия»</w:t>
      </w:r>
      <w:r w:rsidR="00051F94">
        <w:rPr>
          <w:color w:val="000000"/>
        </w:rPr>
        <w:t xml:space="preserve"> были </w:t>
      </w:r>
      <w:r w:rsidRPr="00CA2FD0">
        <w:rPr>
          <w:color w:val="000000"/>
        </w:rPr>
        <w:t xml:space="preserve"> направлены на проверку владения материалом на повышенном уровне. Их назначение — дифференцировать хорошо успевающих школьников по уровням подготовки, выявить наиболее подготовленную часть выпускников, составляющую потенциальный контингент профильных классов. Эти части соде</w:t>
      </w:r>
      <w:r w:rsidR="00051F94">
        <w:rPr>
          <w:color w:val="000000"/>
        </w:rPr>
        <w:t>ржали</w:t>
      </w:r>
      <w:r w:rsidRPr="00CA2FD0">
        <w:rPr>
          <w:color w:val="000000"/>
        </w:rPr>
        <w:t xml:space="preserve"> задания повышенного уровня сложности из различных разделов курса</w:t>
      </w:r>
      <w:r w:rsidR="00051F94">
        <w:rPr>
          <w:color w:val="000000"/>
        </w:rPr>
        <w:t xml:space="preserve"> математики. Все задания требовали</w:t>
      </w:r>
      <w:r w:rsidRPr="00CA2FD0">
        <w:rPr>
          <w:color w:val="000000"/>
        </w:rPr>
        <w:t xml:space="preserve"> записи решений и ответа. Задания </w:t>
      </w:r>
      <w:r w:rsidR="00051F94">
        <w:rPr>
          <w:color w:val="000000"/>
        </w:rPr>
        <w:t xml:space="preserve">были </w:t>
      </w:r>
      <w:r w:rsidRPr="00CA2FD0">
        <w:rPr>
          <w:color w:val="000000"/>
        </w:rPr>
        <w:t xml:space="preserve">расположены по нарастанию трудности — от относительно </w:t>
      </w:r>
      <w:proofErr w:type="gramStart"/>
      <w:r w:rsidRPr="00CA2FD0">
        <w:rPr>
          <w:color w:val="000000"/>
        </w:rPr>
        <w:t>простых</w:t>
      </w:r>
      <w:proofErr w:type="gramEnd"/>
      <w:r w:rsidRPr="00CA2FD0">
        <w:rPr>
          <w:color w:val="000000"/>
        </w:rPr>
        <w:t xml:space="preserve"> до сложных, предполагающих свободное владение материалом и хороший уровень математической культуры.</w:t>
      </w:r>
    </w:p>
    <w:p w:rsidR="00CA2FD0" w:rsidRPr="00CA2FD0" w:rsidRDefault="00051F94" w:rsidP="00CA2FD0">
      <w:pPr>
        <w:pStyle w:val="a3"/>
        <w:spacing w:before="204" w:beforeAutospacing="0" w:after="204" w:afterAutospacing="0"/>
        <w:rPr>
          <w:color w:val="000000"/>
        </w:rPr>
      </w:pPr>
      <w:r>
        <w:rPr>
          <w:color w:val="000000"/>
        </w:rPr>
        <w:t>Модуль «Алгебра» содержал</w:t>
      </w:r>
      <w:r w:rsidR="00CA2FD0" w:rsidRPr="00CA2FD0">
        <w:rPr>
          <w:color w:val="000000"/>
        </w:rPr>
        <w:t xml:space="preserve"> 17 заданий: в части 1 — 14 заданий; в части 2 — 3 задания.</w:t>
      </w:r>
    </w:p>
    <w:p w:rsidR="00CA2FD0" w:rsidRPr="00CA2FD0" w:rsidRDefault="00051F94" w:rsidP="00CA2FD0">
      <w:pPr>
        <w:pStyle w:val="a3"/>
        <w:spacing w:before="204" w:beforeAutospacing="0" w:after="204" w:afterAutospacing="0"/>
        <w:rPr>
          <w:color w:val="000000"/>
        </w:rPr>
      </w:pPr>
      <w:r>
        <w:rPr>
          <w:color w:val="000000"/>
        </w:rPr>
        <w:t>Модуль «Геометрия» содержал</w:t>
      </w:r>
      <w:r w:rsidR="00CA2FD0" w:rsidRPr="00CA2FD0">
        <w:rPr>
          <w:color w:val="000000"/>
        </w:rPr>
        <w:t xml:space="preserve"> 9 заданий: в части 1 — 6 заданий; в части 2 — 3 задания.</w:t>
      </w:r>
    </w:p>
    <w:p w:rsidR="00CA2FD0" w:rsidRDefault="00CA2FD0" w:rsidP="00CA2FD0">
      <w:pPr>
        <w:pStyle w:val="a3"/>
        <w:spacing w:before="204" w:beforeAutospacing="0" w:after="204" w:afterAutospacing="0"/>
        <w:rPr>
          <w:color w:val="000000"/>
        </w:rPr>
      </w:pPr>
      <w:r w:rsidRPr="00CA2FD0">
        <w:rPr>
          <w:color w:val="000000"/>
        </w:rPr>
        <w:t>Всего в работе 26 заданий, из которых 20 заданий базового уровня, 4 задания повышенного уровня и 2 задания высокого уровня.</w:t>
      </w:r>
    </w:p>
    <w:p w:rsidR="002904B2" w:rsidRPr="002904B2" w:rsidRDefault="002904B2" w:rsidP="002904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Установленный в 2018-2019 у</w:t>
      </w:r>
      <w:r w:rsidR="00383BB4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ебном</w:t>
      </w:r>
      <w:r w:rsidRPr="002904B2">
        <w:rPr>
          <w:rFonts w:ascii="Times New Roman" w:hAnsi="Times New Roman" w:cs="Times New Roman"/>
          <w:sz w:val="24"/>
          <w:szCs w:val="24"/>
        </w:rPr>
        <w:t xml:space="preserve"> году  минимальный результат выполнения экзаменационной работы, свидетельствующий об освоении федерального компонента образовательного стандарта в предметной области «Математика»,</w:t>
      </w:r>
      <w:r w:rsidR="00051F94">
        <w:rPr>
          <w:rFonts w:ascii="Times New Roman" w:hAnsi="Times New Roman" w:cs="Times New Roman"/>
          <w:sz w:val="24"/>
          <w:szCs w:val="24"/>
        </w:rPr>
        <w:t xml:space="preserve"> </w:t>
      </w:r>
      <w:r w:rsidRPr="002904B2">
        <w:rPr>
          <w:rFonts w:ascii="Times New Roman" w:hAnsi="Times New Roman" w:cs="Times New Roman"/>
          <w:sz w:val="24"/>
          <w:szCs w:val="24"/>
        </w:rPr>
        <w:t xml:space="preserve"> - </w:t>
      </w:r>
      <w:r w:rsidR="00051F94">
        <w:rPr>
          <w:rFonts w:ascii="Times New Roman" w:hAnsi="Times New Roman" w:cs="Times New Roman"/>
          <w:sz w:val="24"/>
          <w:szCs w:val="24"/>
        </w:rPr>
        <w:t xml:space="preserve"> </w:t>
      </w:r>
      <w:r w:rsidRPr="002904B2">
        <w:rPr>
          <w:rFonts w:ascii="Times New Roman" w:hAnsi="Times New Roman" w:cs="Times New Roman"/>
          <w:sz w:val="24"/>
          <w:szCs w:val="24"/>
        </w:rPr>
        <w:t>8 баллов, набранные в сумме за выполнение заданий обоих модулей, при условии, что из них  не менее 2 баллов набрано по модулю «Геометрия».</w:t>
      </w:r>
    </w:p>
    <w:p w:rsidR="002904B2" w:rsidRPr="002904B2" w:rsidRDefault="002904B2" w:rsidP="002904B2">
      <w:pPr>
        <w:rPr>
          <w:rFonts w:ascii="Times New Roman" w:hAnsi="Times New Roman" w:cs="Times New Roman"/>
          <w:sz w:val="24"/>
          <w:szCs w:val="24"/>
        </w:rPr>
      </w:pPr>
      <w:r w:rsidRPr="002904B2">
        <w:rPr>
          <w:rFonts w:ascii="Times New Roman" w:hAnsi="Times New Roman" w:cs="Times New Roman"/>
          <w:sz w:val="24"/>
          <w:szCs w:val="24"/>
        </w:rPr>
        <w:t>Шкала пересчёта суммарного балла за выполнение экзаменационной работы в целом в отметку по математике:</w:t>
      </w:r>
    </w:p>
    <w:p w:rsidR="002904B2" w:rsidRPr="002904B2" w:rsidRDefault="002904B2" w:rsidP="002904B2">
      <w:pPr>
        <w:rPr>
          <w:rFonts w:ascii="Times New Roman" w:hAnsi="Times New Roman" w:cs="Times New Roman"/>
          <w:sz w:val="24"/>
          <w:szCs w:val="24"/>
        </w:rPr>
      </w:pPr>
      <w:r w:rsidRPr="002904B2">
        <w:rPr>
          <w:rFonts w:ascii="Times New Roman" w:hAnsi="Times New Roman" w:cs="Times New Roman"/>
          <w:sz w:val="24"/>
          <w:szCs w:val="24"/>
        </w:rPr>
        <w:t xml:space="preserve"> 0—7 баллов — отметка «2»</w:t>
      </w:r>
    </w:p>
    <w:p w:rsidR="002904B2" w:rsidRPr="002904B2" w:rsidRDefault="002904B2" w:rsidP="002904B2">
      <w:pPr>
        <w:rPr>
          <w:rFonts w:ascii="Times New Roman" w:hAnsi="Times New Roman" w:cs="Times New Roman"/>
          <w:sz w:val="24"/>
          <w:szCs w:val="24"/>
        </w:rPr>
      </w:pPr>
      <w:r w:rsidRPr="002904B2">
        <w:rPr>
          <w:rFonts w:ascii="Times New Roman" w:hAnsi="Times New Roman" w:cs="Times New Roman"/>
          <w:sz w:val="24"/>
          <w:szCs w:val="24"/>
        </w:rPr>
        <w:t xml:space="preserve"> 8—14 баллов — отметка «3»</w:t>
      </w:r>
    </w:p>
    <w:p w:rsidR="002904B2" w:rsidRPr="002904B2" w:rsidRDefault="002904B2" w:rsidP="002904B2">
      <w:pPr>
        <w:rPr>
          <w:rFonts w:ascii="Times New Roman" w:hAnsi="Times New Roman" w:cs="Times New Roman"/>
          <w:sz w:val="24"/>
          <w:szCs w:val="24"/>
        </w:rPr>
      </w:pPr>
      <w:r w:rsidRPr="002904B2">
        <w:rPr>
          <w:rFonts w:ascii="Times New Roman" w:hAnsi="Times New Roman" w:cs="Times New Roman"/>
          <w:sz w:val="24"/>
          <w:szCs w:val="24"/>
        </w:rPr>
        <w:lastRenderedPageBreak/>
        <w:t>15—21 баллов — отметка «4»</w:t>
      </w:r>
    </w:p>
    <w:p w:rsidR="002904B2" w:rsidRPr="002904B2" w:rsidRDefault="002904B2" w:rsidP="002904B2">
      <w:pPr>
        <w:rPr>
          <w:rFonts w:ascii="Times New Roman" w:hAnsi="Times New Roman" w:cs="Times New Roman"/>
          <w:sz w:val="24"/>
          <w:szCs w:val="24"/>
        </w:rPr>
      </w:pPr>
      <w:r w:rsidRPr="002904B2">
        <w:rPr>
          <w:rFonts w:ascii="Times New Roman" w:hAnsi="Times New Roman" w:cs="Times New Roman"/>
          <w:sz w:val="24"/>
          <w:szCs w:val="24"/>
        </w:rPr>
        <w:t>22—32 баллов — отметка «5»</w:t>
      </w:r>
    </w:p>
    <w:p w:rsidR="002904B2" w:rsidRPr="00CA2FD0" w:rsidRDefault="002904B2" w:rsidP="00CA2FD0">
      <w:pPr>
        <w:pStyle w:val="a3"/>
        <w:spacing w:before="204" w:beforeAutospacing="0" w:after="204" w:afterAutospacing="0"/>
        <w:rPr>
          <w:color w:val="000000"/>
        </w:rPr>
      </w:pPr>
    </w:p>
    <w:p w:rsidR="00CA2FD0" w:rsidRPr="00383BB4" w:rsidRDefault="001B108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83BB4">
        <w:rPr>
          <w:rFonts w:ascii="Times New Roman" w:hAnsi="Times New Roman" w:cs="Times New Roman"/>
          <w:b/>
          <w:i/>
          <w:sz w:val="24"/>
          <w:szCs w:val="24"/>
        </w:rPr>
        <w:t>1.2. Характеристика участников ОГЭ по предмету «математика» 2019 года</w:t>
      </w:r>
    </w:p>
    <w:p w:rsidR="002904B2" w:rsidRDefault="00383B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ОГЭ по предмету «математика» 2019 года стали 169 выпускников девятых классов 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1B1083" w:rsidRPr="00383BB4" w:rsidRDefault="001B108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83BB4">
        <w:rPr>
          <w:rFonts w:ascii="Times New Roman" w:hAnsi="Times New Roman" w:cs="Times New Roman"/>
          <w:b/>
          <w:i/>
          <w:sz w:val="24"/>
          <w:szCs w:val="24"/>
        </w:rPr>
        <w:t>1.3. Основные результаты экзамена по предмету «математика» 2019 года</w:t>
      </w:r>
    </w:p>
    <w:p w:rsidR="001B1083" w:rsidRDefault="001B10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участников</w:t>
      </w:r>
      <w:r w:rsidR="009C4BE6">
        <w:rPr>
          <w:rFonts w:ascii="Times New Roman" w:hAnsi="Times New Roman" w:cs="Times New Roman"/>
          <w:sz w:val="24"/>
          <w:szCs w:val="24"/>
        </w:rPr>
        <w:t xml:space="preserve"> – 169 человек</w:t>
      </w:r>
    </w:p>
    <w:p w:rsidR="001B1083" w:rsidRDefault="001B10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и доля участников, не переступивших минимальный порог</w:t>
      </w:r>
      <w:r w:rsidR="00F35E7E">
        <w:rPr>
          <w:rFonts w:ascii="Times New Roman" w:hAnsi="Times New Roman" w:cs="Times New Roman"/>
          <w:sz w:val="24"/>
          <w:szCs w:val="24"/>
        </w:rPr>
        <w:t>,</w:t>
      </w:r>
      <w:r w:rsidR="009C4BE6">
        <w:rPr>
          <w:rFonts w:ascii="Times New Roman" w:hAnsi="Times New Roman" w:cs="Times New Roman"/>
          <w:sz w:val="24"/>
          <w:szCs w:val="24"/>
        </w:rPr>
        <w:t xml:space="preserve"> – 7 человек, 4%</w:t>
      </w:r>
      <w:r w:rsidR="00051F94">
        <w:rPr>
          <w:rFonts w:ascii="Times New Roman" w:hAnsi="Times New Roman" w:cs="Times New Roman"/>
          <w:sz w:val="24"/>
          <w:szCs w:val="24"/>
        </w:rPr>
        <w:t xml:space="preserve"> от всех участников ОГЭ по предмету «математика» 2019 года.</w:t>
      </w:r>
    </w:p>
    <w:p w:rsidR="00383BB4" w:rsidRDefault="00383BB4">
      <w:pPr>
        <w:rPr>
          <w:rFonts w:ascii="Times New Roman" w:hAnsi="Times New Roman" w:cs="Times New Roman"/>
          <w:sz w:val="24"/>
          <w:szCs w:val="24"/>
        </w:rPr>
      </w:pPr>
    </w:p>
    <w:p w:rsidR="001B1083" w:rsidRDefault="003C3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Динамика среднего балла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отметок</w:t>
      </w:r>
      <w:proofErr w:type="gramEnd"/>
      <w:r w:rsidR="00F35E7E">
        <w:rPr>
          <w:rFonts w:ascii="Times New Roman" w:hAnsi="Times New Roman" w:cs="Times New Roman"/>
          <w:sz w:val="24"/>
          <w:szCs w:val="24"/>
        </w:rPr>
        <w:t xml:space="preserve"> </w:t>
      </w:r>
      <w:r w:rsidR="00051F94">
        <w:rPr>
          <w:rFonts w:ascii="Times New Roman" w:hAnsi="Times New Roman" w:cs="Times New Roman"/>
          <w:sz w:val="24"/>
          <w:szCs w:val="24"/>
        </w:rPr>
        <w:t xml:space="preserve"> </w:t>
      </w:r>
      <w:r w:rsidR="001B1083">
        <w:rPr>
          <w:rFonts w:ascii="Times New Roman" w:hAnsi="Times New Roman" w:cs="Times New Roman"/>
          <w:sz w:val="24"/>
          <w:szCs w:val="24"/>
        </w:rPr>
        <w:t xml:space="preserve"> </w:t>
      </w:r>
      <w:r w:rsidR="00051F94">
        <w:rPr>
          <w:rFonts w:ascii="Times New Roman" w:hAnsi="Times New Roman" w:cs="Times New Roman"/>
          <w:sz w:val="24"/>
          <w:szCs w:val="24"/>
        </w:rPr>
        <w:t xml:space="preserve"> последних </w:t>
      </w:r>
      <w:r w:rsidR="00F35E7E">
        <w:rPr>
          <w:rFonts w:ascii="Times New Roman" w:hAnsi="Times New Roman" w:cs="Times New Roman"/>
          <w:sz w:val="24"/>
          <w:szCs w:val="24"/>
        </w:rPr>
        <w:t xml:space="preserve"> </w:t>
      </w:r>
      <w:r w:rsidR="00051F94">
        <w:rPr>
          <w:rFonts w:ascii="Times New Roman" w:hAnsi="Times New Roman" w:cs="Times New Roman"/>
          <w:sz w:val="24"/>
          <w:szCs w:val="24"/>
        </w:rPr>
        <w:t>3 лет</w:t>
      </w:r>
      <w:r w:rsidR="00F35E7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673"/>
        <w:gridCol w:w="673"/>
        <w:gridCol w:w="673"/>
        <w:gridCol w:w="674"/>
        <w:gridCol w:w="1843"/>
        <w:gridCol w:w="2409"/>
        <w:gridCol w:w="1701"/>
      </w:tblGrid>
      <w:tr w:rsidR="001A28F1" w:rsidTr="00EB3542">
        <w:trPr>
          <w:trHeight w:val="252"/>
        </w:trPr>
        <w:tc>
          <w:tcPr>
            <w:tcW w:w="1809" w:type="dxa"/>
            <w:vMerge w:val="restart"/>
          </w:tcPr>
          <w:p w:rsidR="001A28F1" w:rsidRPr="001A28F1" w:rsidRDefault="001267BC" w:rsidP="00383B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Учебный </w:t>
            </w:r>
            <w:r w:rsidR="001A28F1" w:rsidRPr="001A2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1560" w:type="dxa"/>
            <w:vMerge w:val="restart"/>
          </w:tcPr>
          <w:p w:rsidR="001A28F1" w:rsidRPr="001A28F1" w:rsidRDefault="00EB3542" w:rsidP="00383B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</w:t>
            </w:r>
            <w:r w:rsidR="001A28F1" w:rsidRPr="001A2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</w:t>
            </w:r>
          </w:p>
          <w:p w:rsidR="001A28F1" w:rsidRPr="001A28F1" w:rsidRDefault="00EB3542" w:rsidP="00383B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учащих</w:t>
            </w:r>
            <w:r w:rsidR="001A28F1" w:rsidRPr="001A2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ся</w:t>
            </w:r>
          </w:p>
        </w:tc>
        <w:tc>
          <w:tcPr>
            <w:tcW w:w="2693" w:type="dxa"/>
            <w:gridSpan w:val="4"/>
          </w:tcPr>
          <w:p w:rsidR="001A28F1" w:rsidRPr="001A28F1" w:rsidRDefault="001A28F1" w:rsidP="00383B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2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отметки</w:t>
            </w:r>
          </w:p>
        </w:tc>
        <w:tc>
          <w:tcPr>
            <w:tcW w:w="1843" w:type="dxa"/>
            <w:vMerge w:val="restart"/>
          </w:tcPr>
          <w:p w:rsidR="001A28F1" w:rsidRPr="001A28F1" w:rsidRDefault="00EB3542" w:rsidP="00383B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средняя </w:t>
            </w:r>
            <w:r w:rsidR="001A28F1" w:rsidRPr="001A2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отметка</w:t>
            </w:r>
          </w:p>
        </w:tc>
        <w:tc>
          <w:tcPr>
            <w:tcW w:w="2409" w:type="dxa"/>
            <w:vMerge w:val="restart"/>
          </w:tcPr>
          <w:p w:rsidR="001A28F1" w:rsidRPr="001A28F1" w:rsidRDefault="00EB3542" w:rsidP="00383B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уровень </w:t>
            </w:r>
            <w:r w:rsidR="001A28F1" w:rsidRPr="001A2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A28F1" w:rsidRPr="001A2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енности</w:t>
            </w:r>
            <w:proofErr w:type="spellEnd"/>
          </w:p>
        </w:tc>
        <w:tc>
          <w:tcPr>
            <w:tcW w:w="1701" w:type="dxa"/>
            <w:vMerge w:val="restart"/>
          </w:tcPr>
          <w:p w:rsidR="001A28F1" w:rsidRPr="001A28F1" w:rsidRDefault="00EB3542" w:rsidP="00383B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качество</w:t>
            </w:r>
            <w:r w:rsidR="001A28F1" w:rsidRPr="001A2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знаний</w:t>
            </w:r>
          </w:p>
        </w:tc>
      </w:tr>
      <w:tr w:rsidR="001A28F1" w:rsidTr="00EB3542">
        <w:trPr>
          <w:trHeight w:val="251"/>
        </w:trPr>
        <w:tc>
          <w:tcPr>
            <w:tcW w:w="1809" w:type="dxa"/>
            <w:vMerge/>
          </w:tcPr>
          <w:p w:rsidR="001A28F1" w:rsidRDefault="001A2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28F1" w:rsidRDefault="001A2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1A28F1" w:rsidRPr="001A28F1" w:rsidRDefault="001A28F1" w:rsidP="001A28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2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73" w:type="dxa"/>
          </w:tcPr>
          <w:p w:rsidR="001A28F1" w:rsidRPr="001A28F1" w:rsidRDefault="001A28F1" w:rsidP="001A28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2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73" w:type="dxa"/>
          </w:tcPr>
          <w:p w:rsidR="001A28F1" w:rsidRPr="001A28F1" w:rsidRDefault="001A28F1" w:rsidP="001A28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2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1A28F1" w:rsidRPr="001A28F1" w:rsidRDefault="001A28F1" w:rsidP="001A28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2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A28F1" w:rsidRDefault="001A2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A28F1" w:rsidRDefault="001A2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28F1" w:rsidRDefault="001A2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F1" w:rsidTr="00EB3542">
        <w:tc>
          <w:tcPr>
            <w:tcW w:w="1809" w:type="dxa"/>
          </w:tcPr>
          <w:p w:rsidR="001A28F1" w:rsidRDefault="001A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  <w:p w:rsidR="001267BC" w:rsidRDefault="0012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673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3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73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74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409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</w:tr>
      <w:tr w:rsidR="001A28F1" w:rsidTr="00EB3542">
        <w:tc>
          <w:tcPr>
            <w:tcW w:w="1809" w:type="dxa"/>
          </w:tcPr>
          <w:p w:rsidR="001A28F1" w:rsidRDefault="001A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  <w:p w:rsidR="001267BC" w:rsidRDefault="0012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73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3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73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74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409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</w:tr>
      <w:tr w:rsidR="001A28F1" w:rsidTr="00EB3542">
        <w:tc>
          <w:tcPr>
            <w:tcW w:w="1809" w:type="dxa"/>
          </w:tcPr>
          <w:p w:rsidR="001A28F1" w:rsidRDefault="001A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  <w:p w:rsidR="001267BC" w:rsidRDefault="0012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673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3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73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74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09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701" w:type="dxa"/>
          </w:tcPr>
          <w:p w:rsidR="001A28F1" w:rsidRDefault="001A28F1" w:rsidP="001A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</w:tr>
    </w:tbl>
    <w:p w:rsidR="009C4BE6" w:rsidRDefault="009C4BE6">
      <w:pPr>
        <w:rPr>
          <w:rFonts w:ascii="Times New Roman" w:hAnsi="Times New Roman" w:cs="Times New Roman"/>
          <w:sz w:val="24"/>
          <w:szCs w:val="24"/>
        </w:rPr>
      </w:pPr>
    </w:p>
    <w:p w:rsidR="00383BB4" w:rsidRDefault="00383BB4" w:rsidP="00F103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7BC" w:rsidRDefault="001267BC" w:rsidP="00F103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7BC" w:rsidRDefault="001267BC" w:rsidP="00F103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B3542" w:rsidRDefault="00EB3542" w:rsidP="00F103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0380" w:rsidRPr="00383BB4" w:rsidRDefault="00F10380" w:rsidP="00F10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83BB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1.4. Анализ </w:t>
      </w:r>
      <w:r w:rsidRPr="00383BB4">
        <w:rPr>
          <w:rFonts w:ascii="Arial" w:eastAsia="Times New Roman" w:hAnsi="Arial" w:cs="Arial"/>
          <w:b/>
          <w:i/>
          <w:color w:val="000000"/>
          <w:sz w:val="26"/>
          <w:szCs w:val="26"/>
        </w:rPr>
        <w:t xml:space="preserve"> </w:t>
      </w:r>
      <w:r w:rsidRPr="00383B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результатов выполнения экзаменационной работы по предмету </w:t>
      </w:r>
      <w:r w:rsidRPr="00383BB4">
        <w:rPr>
          <w:rFonts w:ascii="Times New Roman" w:hAnsi="Times New Roman" w:cs="Times New Roman"/>
          <w:b/>
          <w:i/>
          <w:sz w:val="24"/>
          <w:szCs w:val="24"/>
        </w:rPr>
        <w:t xml:space="preserve">«математика» </w:t>
      </w:r>
      <w:r w:rsidR="00383B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2019года</w:t>
      </w:r>
    </w:p>
    <w:p w:rsidR="00383BB4" w:rsidRDefault="00383BB4" w:rsidP="00F10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BB4" w:rsidRPr="0034083D" w:rsidRDefault="00383BB4" w:rsidP="00F10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3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134"/>
        <w:gridCol w:w="602"/>
        <w:gridCol w:w="603"/>
        <w:gridCol w:w="602"/>
        <w:gridCol w:w="603"/>
        <w:gridCol w:w="1134"/>
        <w:gridCol w:w="1276"/>
        <w:gridCol w:w="1276"/>
        <w:gridCol w:w="1984"/>
      </w:tblGrid>
      <w:tr w:rsidR="00F35E7E" w:rsidRPr="00D93865" w:rsidTr="00F35E7E">
        <w:trPr>
          <w:trHeight w:val="270"/>
        </w:trPr>
        <w:tc>
          <w:tcPr>
            <w:tcW w:w="6096" w:type="dxa"/>
            <w:vMerge w:val="restart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  <w:r>
              <w:rPr>
                <w:rFonts w:ascii="Calibri" w:hAnsi="Calibri"/>
                <w:b/>
                <w:i/>
                <w:lang w:eastAsia="en-US"/>
              </w:rPr>
              <w:t>Наименование ОУ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  <w:r w:rsidRPr="00D93865">
              <w:rPr>
                <w:rFonts w:ascii="Calibri" w:hAnsi="Calibri"/>
                <w:b/>
                <w:i/>
                <w:lang w:eastAsia="en-US"/>
              </w:rPr>
              <w:t>Кол-во выпускников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  <w:r w:rsidRPr="00D93865">
              <w:rPr>
                <w:rFonts w:ascii="Calibri" w:hAnsi="Calibri"/>
                <w:b/>
                <w:i/>
                <w:lang w:eastAsia="en-US"/>
              </w:rPr>
              <w:t>отметки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  <w:r w:rsidRPr="00D93865">
              <w:rPr>
                <w:rFonts w:ascii="Calibri" w:hAnsi="Calibri"/>
                <w:b/>
                <w:i/>
                <w:lang w:eastAsia="en-US"/>
              </w:rPr>
              <w:t>Средний балл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  <w:r w:rsidRPr="00D93865">
              <w:rPr>
                <w:rFonts w:ascii="Calibri" w:hAnsi="Calibri"/>
                <w:b/>
                <w:i/>
                <w:lang w:eastAsia="en-US"/>
              </w:rPr>
              <w:t xml:space="preserve">Уровень </w:t>
            </w:r>
            <w:proofErr w:type="spellStart"/>
            <w:r w:rsidRPr="00D93865">
              <w:rPr>
                <w:rFonts w:ascii="Calibri" w:hAnsi="Calibri"/>
                <w:b/>
                <w:i/>
                <w:lang w:eastAsia="en-US"/>
              </w:rPr>
              <w:t>обученности</w:t>
            </w:r>
            <w:proofErr w:type="spellEnd"/>
            <w:r w:rsidRPr="00D93865">
              <w:rPr>
                <w:rFonts w:ascii="Calibri" w:hAnsi="Calibri"/>
                <w:b/>
                <w:i/>
                <w:lang w:eastAsia="en-US"/>
              </w:rPr>
              <w:t>(%)</w:t>
            </w:r>
          </w:p>
        </w:tc>
        <w:tc>
          <w:tcPr>
            <w:tcW w:w="1276" w:type="dxa"/>
            <w:vMerge w:val="restart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  <w:r w:rsidRPr="00D93865">
              <w:rPr>
                <w:rFonts w:ascii="Calibri" w:hAnsi="Calibri"/>
                <w:b/>
                <w:i/>
                <w:lang w:eastAsia="en-US"/>
              </w:rPr>
              <w:t>Качество знаний</w:t>
            </w:r>
          </w:p>
          <w:p w:rsidR="00F35E7E" w:rsidRPr="00D93865" w:rsidRDefault="00F35E7E" w:rsidP="00225217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  <w:r w:rsidRPr="00D93865">
              <w:rPr>
                <w:rFonts w:ascii="Calibri" w:hAnsi="Calibri"/>
                <w:b/>
                <w:i/>
                <w:lang w:eastAsia="en-US"/>
              </w:rPr>
              <w:t>(%)</w:t>
            </w:r>
          </w:p>
        </w:tc>
        <w:tc>
          <w:tcPr>
            <w:tcW w:w="1984" w:type="dxa"/>
            <w:vMerge w:val="restart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  <w:r>
              <w:rPr>
                <w:rFonts w:ascii="Calibri" w:hAnsi="Calibri"/>
                <w:b/>
                <w:i/>
                <w:lang w:eastAsia="en-US"/>
              </w:rPr>
              <w:t>Учитель</w:t>
            </w:r>
          </w:p>
        </w:tc>
      </w:tr>
      <w:tr w:rsidR="00F35E7E" w:rsidRPr="00D93865" w:rsidTr="00F35E7E">
        <w:trPr>
          <w:trHeight w:val="270"/>
        </w:trPr>
        <w:tc>
          <w:tcPr>
            <w:tcW w:w="6096" w:type="dxa"/>
            <w:vMerge/>
            <w:shd w:val="clear" w:color="auto" w:fill="auto"/>
          </w:tcPr>
          <w:p w:rsidR="00F35E7E" w:rsidRPr="00D93865" w:rsidRDefault="00F35E7E" w:rsidP="00225217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5E7E" w:rsidRPr="00D93865" w:rsidRDefault="00F35E7E" w:rsidP="00225217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602" w:type="dxa"/>
            <w:shd w:val="clear" w:color="auto" w:fill="auto"/>
          </w:tcPr>
          <w:p w:rsidR="00F35E7E" w:rsidRPr="00D93865" w:rsidRDefault="00F35E7E" w:rsidP="00225217">
            <w:pPr>
              <w:rPr>
                <w:rFonts w:ascii="Calibri" w:hAnsi="Calibri"/>
                <w:b/>
                <w:i/>
                <w:lang w:eastAsia="en-US"/>
              </w:rPr>
            </w:pPr>
            <w:r w:rsidRPr="00D93865">
              <w:rPr>
                <w:rFonts w:ascii="Calibri" w:hAnsi="Calibri"/>
                <w:b/>
                <w:i/>
                <w:lang w:eastAsia="en-US"/>
              </w:rPr>
              <w:t>«5»</w:t>
            </w:r>
          </w:p>
        </w:tc>
        <w:tc>
          <w:tcPr>
            <w:tcW w:w="603" w:type="dxa"/>
            <w:shd w:val="clear" w:color="auto" w:fill="auto"/>
          </w:tcPr>
          <w:p w:rsidR="00F35E7E" w:rsidRPr="00D93865" w:rsidRDefault="00F35E7E" w:rsidP="00225217">
            <w:pPr>
              <w:rPr>
                <w:rFonts w:ascii="Calibri" w:hAnsi="Calibri"/>
                <w:b/>
                <w:i/>
                <w:lang w:eastAsia="en-US"/>
              </w:rPr>
            </w:pPr>
            <w:r w:rsidRPr="00D93865">
              <w:rPr>
                <w:rFonts w:ascii="Calibri" w:hAnsi="Calibri"/>
                <w:b/>
                <w:i/>
                <w:lang w:eastAsia="en-US"/>
              </w:rPr>
              <w:t>«4»</w:t>
            </w:r>
          </w:p>
        </w:tc>
        <w:tc>
          <w:tcPr>
            <w:tcW w:w="602" w:type="dxa"/>
            <w:shd w:val="clear" w:color="auto" w:fill="auto"/>
          </w:tcPr>
          <w:p w:rsidR="00F35E7E" w:rsidRPr="00D93865" w:rsidRDefault="00F35E7E" w:rsidP="00225217">
            <w:pPr>
              <w:rPr>
                <w:rFonts w:ascii="Calibri" w:hAnsi="Calibri"/>
                <w:b/>
                <w:i/>
                <w:lang w:eastAsia="en-US"/>
              </w:rPr>
            </w:pPr>
            <w:r w:rsidRPr="00D93865">
              <w:rPr>
                <w:rFonts w:ascii="Calibri" w:hAnsi="Calibri"/>
                <w:b/>
                <w:i/>
                <w:lang w:eastAsia="en-US"/>
              </w:rPr>
              <w:t>«3»</w:t>
            </w:r>
          </w:p>
        </w:tc>
        <w:tc>
          <w:tcPr>
            <w:tcW w:w="603" w:type="dxa"/>
            <w:shd w:val="clear" w:color="auto" w:fill="auto"/>
          </w:tcPr>
          <w:p w:rsidR="00F35E7E" w:rsidRPr="00D93865" w:rsidRDefault="00F35E7E" w:rsidP="00225217">
            <w:pPr>
              <w:rPr>
                <w:rFonts w:ascii="Calibri" w:hAnsi="Calibri"/>
                <w:b/>
                <w:i/>
                <w:lang w:eastAsia="en-US"/>
              </w:rPr>
            </w:pPr>
            <w:r w:rsidRPr="00D93865">
              <w:rPr>
                <w:rFonts w:ascii="Calibri" w:hAnsi="Calibri"/>
                <w:b/>
                <w:i/>
                <w:lang w:eastAsia="en-US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F35E7E" w:rsidRPr="00D93865" w:rsidRDefault="00F35E7E" w:rsidP="00225217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5E7E" w:rsidRPr="00D93865" w:rsidRDefault="00F35E7E" w:rsidP="00225217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F35E7E" w:rsidRPr="00D93865" w:rsidRDefault="00F35E7E" w:rsidP="00225217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1984" w:type="dxa"/>
            <w:vMerge/>
          </w:tcPr>
          <w:p w:rsidR="00F35E7E" w:rsidRPr="00D93865" w:rsidRDefault="00F35E7E" w:rsidP="00225217">
            <w:pPr>
              <w:rPr>
                <w:rFonts w:ascii="Calibri" w:hAnsi="Calibri"/>
                <w:lang w:eastAsia="en-US"/>
              </w:rPr>
            </w:pPr>
          </w:p>
        </w:tc>
      </w:tr>
      <w:tr w:rsidR="00F35E7E" w:rsidTr="00F35E7E">
        <w:tc>
          <w:tcPr>
            <w:tcW w:w="6096" w:type="dxa"/>
            <w:shd w:val="clear" w:color="auto" w:fill="auto"/>
          </w:tcPr>
          <w:p w:rsidR="00F35E7E" w:rsidRPr="00C9572E" w:rsidRDefault="00F35E7E" w:rsidP="00225217">
            <w:r w:rsidRPr="00683616">
              <w:t>МКОУ "</w:t>
            </w:r>
            <w:proofErr w:type="spellStart"/>
            <w:r w:rsidRPr="00683616">
              <w:t>Городовиковская</w:t>
            </w:r>
            <w:proofErr w:type="spellEnd"/>
            <w:r w:rsidRPr="00683616">
              <w:t xml:space="preserve"> средняя общеобразовательная школа №1 им. Г.Лазарева"</w:t>
            </w:r>
          </w:p>
        </w:tc>
        <w:tc>
          <w:tcPr>
            <w:tcW w:w="1134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34</w:t>
            </w:r>
          </w:p>
        </w:tc>
        <w:tc>
          <w:tcPr>
            <w:tcW w:w="602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</w:t>
            </w:r>
          </w:p>
        </w:tc>
        <w:tc>
          <w:tcPr>
            <w:tcW w:w="602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</w:t>
            </w:r>
          </w:p>
        </w:tc>
        <w:tc>
          <w:tcPr>
            <w:tcW w:w="603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35E7E" w:rsidRPr="00D93865" w:rsidRDefault="00125215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3,53</w:t>
            </w:r>
          </w:p>
        </w:tc>
        <w:tc>
          <w:tcPr>
            <w:tcW w:w="1276" w:type="dxa"/>
            <w:shd w:val="clear" w:color="auto" w:fill="auto"/>
          </w:tcPr>
          <w:p w:rsidR="00F35E7E" w:rsidRPr="00D93865" w:rsidRDefault="00125215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97</w:t>
            </w:r>
          </w:p>
        </w:tc>
        <w:tc>
          <w:tcPr>
            <w:tcW w:w="1276" w:type="dxa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50</w:t>
            </w:r>
          </w:p>
        </w:tc>
        <w:tc>
          <w:tcPr>
            <w:tcW w:w="1984" w:type="dxa"/>
          </w:tcPr>
          <w:p w:rsidR="00F35E7E" w:rsidRDefault="00125215" w:rsidP="00225217">
            <w:pPr>
              <w:jc w:val="center"/>
              <w:rPr>
                <w:rFonts w:ascii="Calibri" w:hAnsi="Calibri"/>
                <w:lang w:eastAsia="en-US"/>
              </w:rPr>
            </w:pPr>
            <w:proofErr w:type="spellStart"/>
            <w:r>
              <w:rPr>
                <w:rFonts w:ascii="Calibri" w:hAnsi="Calibri"/>
                <w:lang w:eastAsia="en-US"/>
              </w:rPr>
              <w:t>Буринова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Н.В.</w:t>
            </w:r>
          </w:p>
        </w:tc>
      </w:tr>
      <w:tr w:rsidR="00F35E7E" w:rsidTr="00F35E7E">
        <w:tc>
          <w:tcPr>
            <w:tcW w:w="6096" w:type="dxa"/>
            <w:shd w:val="clear" w:color="auto" w:fill="auto"/>
          </w:tcPr>
          <w:p w:rsidR="00F35E7E" w:rsidRPr="00C9572E" w:rsidRDefault="00F35E7E" w:rsidP="00225217">
            <w:r>
              <w:t>МКОУ «</w:t>
            </w:r>
            <w:proofErr w:type="spellStart"/>
            <w:r>
              <w:t>Городовиковская</w:t>
            </w:r>
            <w:proofErr w:type="spellEnd"/>
            <w:r w:rsidRPr="00683616">
              <w:t xml:space="preserve"> средняя общеобразовательная №2»</w:t>
            </w:r>
          </w:p>
        </w:tc>
        <w:tc>
          <w:tcPr>
            <w:tcW w:w="1134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</w:t>
            </w:r>
          </w:p>
        </w:tc>
        <w:tc>
          <w:tcPr>
            <w:tcW w:w="602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0</w:t>
            </w:r>
          </w:p>
        </w:tc>
        <w:tc>
          <w:tcPr>
            <w:tcW w:w="603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</w:t>
            </w:r>
          </w:p>
        </w:tc>
        <w:tc>
          <w:tcPr>
            <w:tcW w:w="602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5</w:t>
            </w:r>
          </w:p>
        </w:tc>
        <w:tc>
          <w:tcPr>
            <w:tcW w:w="603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35E7E" w:rsidRPr="00D93865" w:rsidRDefault="00125215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3,3</w:t>
            </w:r>
          </w:p>
        </w:tc>
        <w:tc>
          <w:tcPr>
            <w:tcW w:w="1276" w:type="dxa"/>
            <w:shd w:val="clear" w:color="auto" w:fill="auto"/>
          </w:tcPr>
          <w:p w:rsidR="00F35E7E" w:rsidRDefault="00125215" w:rsidP="00225217">
            <w:pPr>
              <w:jc w:val="center"/>
            </w:pPr>
            <w:r>
              <w:t>90</w:t>
            </w:r>
          </w:p>
        </w:tc>
        <w:tc>
          <w:tcPr>
            <w:tcW w:w="1276" w:type="dxa"/>
          </w:tcPr>
          <w:p w:rsidR="00F35E7E" w:rsidRPr="00D93865" w:rsidRDefault="00125215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40</w:t>
            </w:r>
          </w:p>
        </w:tc>
        <w:tc>
          <w:tcPr>
            <w:tcW w:w="1984" w:type="dxa"/>
          </w:tcPr>
          <w:p w:rsidR="00F35E7E" w:rsidRDefault="00DB35B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Пащенко Н.Д.</w:t>
            </w:r>
          </w:p>
        </w:tc>
      </w:tr>
      <w:tr w:rsidR="00F35E7E" w:rsidTr="00F35E7E">
        <w:tc>
          <w:tcPr>
            <w:tcW w:w="6096" w:type="dxa"/>
            <w:shd w:val="clear" w:color="auto" w:fill="auto"/>
          </w:tcPr>
          <w:p w:rsidR="00F35E7E" w:rsidRPr="00C9572E" w:rsidRDefault="00F35E7E" w:rsidP="00225217">
            <w:r w:rsidRPr="00683616">
              <w:t>МКОУ «</w:t>
            </w:r>
            <w:proofErr w:type="spellStart"/>
            <w:r w:rsidRPr="00683616">
              <w:t>Городовиковская</w:t>
            </w:r>
            <w:proofErr w:type="spellEnd"/>
            <w:r w:rsidRPr="00683616">
              <w:t xml:space="preserve"> средняя общеобразовательная школа №3»</w:t>
            </w:r>
          </w:p>
        </w:tc>
        <w:tc>
          <w:tcPr>
            <w:tcW w:w="1134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31</w:t>
            </w:r>
          </w:p>
        </w:tc>
        <w:tc>
          <w:tcPr>
            <w:tcW w:w="602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0</w:t>
            </w:r>
          </w:p>
        </w:tc>
        <w:tc>
          <w:tcPr>
            <w:tcW w:w="603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</w:t>
            </w:r>
          </w:p>
        </w:tc>
        <w:tc>
          <w:tcPr>
            <w:tcW w:w="602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19</w:t>
            </w:r>
          </w:p>
        </w:tc>
        <w:tc>
          <w:tcPr>
            <w:tcW w:w="603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35E7E" w:rsidRPr="00D93865" w:rsidRDefault="00125215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3,32</w:t>
            </w:r>
          </w:p>
        </w:tc>
        <w:tc>
          <w:tcPr>
            <w:tcW w:w="1276" w:type="dxa"/>
            <w:shd w:val="clear" w:color="auto" w:fill="auto"/>
          </w:tcPr>
          <w:p w:rsidR="00F35E7E" w:rsidRDefault="00125215" w:rsidP="00225217">
            <w:pPr>
              <w:jc w:val="center"/>
            </w:pPr>
            <w:r>
              <w:t>94</w:t>
            </w:r>
          </w:p>
        </w:tc>
        <w:tc>
          <w:tcPr>
            <w:tcW w:w="1276" w:type="dxa"/>
          </w:tcPr>
          <w:p w:rsidR="00F35E7E" w:rsidRPr="00D93865" w:rsidRDefault="00125215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32</w:t>
            </w:r>
          </w:p>
        </w:tc>
        <w:tc>
          <w:tcPr>
            <w:tcW w:w="1984" w:type="dxa"/>
          </w:tcPr>
          <w:p w:rsidR="00F35E7E" w:rsidRDefault="00125215" w:rsidP="00225217">
            <w:pPr>
              <w:jc w:val="center"/>
              <w:rPr>
                <w:rFonts w:ascii="Calibri" w:hAnsi="Calibri"/>
                <w:lang w:eastAsia="en-US"/>
              </w:rPr>
            </w:pPr>
            <w:proofErr w:type="spellStart"/>
            <w:r>
              <w:rPr>
                <w:rFonts w:ascii="Calibri" w:hAnsi="Calibri"/>
                <w:lang w:eastAsia="en-US"/>
              </w:rPr>
              <w:t>Колаева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И.А.</w:t>
            </w:r>
          </w:p>
          <w:p w:rsidR="00DB35BE" w:rsidRDefault="00DB35BE" w:rsidP="00DB35BE">
            <w:pPr>
              <w:jc w:val="center"/>
              <w:rPr>
                <w:rFonts w:ascii="Calibri" w:hAnsi="Calibri"/>
                <w:lang w:eastAsia="en-US"/>
              </w:rPr>
            </w:pPr>
            <w:proofErr w:type="spellStart"/>
            <w:r>
              <w:rPr>
                <w:rFonts w:ascii="Calibri" w:hAnsi="Calibri"/>
                <w:lang w:eastAsia="en-US"/>
              </w:rPr>
              <w:t>Надмидова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О.В.</w:t>
            </w:r>
          </w:p>
        </w:tc>
      </w:tr>
      <w:tr w:rsidR="00F35E7E" w:rsidTr="00F35E7E">
        <w:tc>
          <w:tcPr>
            <w:tcW w:w="6096" w:type="dxa"/>
            <w:shd w:val="clear" w:color="auto" w:fill="auto"/>
          </w:tcPr>
          <w:p w:rsidR="00F35E7E" w:rsidRPr="00C9572E" w:rsidRDefault="00F35E7E" w:rsidP="00225217">
            <w:r w:rsidRPr="00683616">
              <w:t>МКОУ «</w:t>
            </w:r>
            <w:proofErr w:type="spellStart"/>
            <w:r w:rsidRPr="00683616">
              <w:t>Городовиковская</w:t>
            </w:r>
            <w:proofErr w:type="spellEnd"/>
            <w:r w:rsidRPr="00683616">
              <w:t xml:space="preserve"> многопрофильная гимназия  им. Б.Б. </w:t>
            </w:r>
            <w:proofErr w:type="spellStart"/>
            <w:r w:rsidRPr="00683616">
              <w:t>Городовикова</w:t>
            </w:r>
            <w:proofErr w:type="spellEnd"/>
            <w:r w:rsidRPr="00683616">
              <w:t>»</w:t>
            </w:r>
          </w:p>
        </w:tc>
        <w:tc>
          <w:tcPr>
            <w:tcW w:w="1134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37</w:t>
            </w:r>
          </w:p>
        </w:tc>
        <w:tc>
          <w:tcPr>
            <w:tcW w:w="602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</w:t>
            </w:r>
          </w:p>
        </w:tc>
        <w:tc>
          <w:tcPr>
            <w:tcW w:w="603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21</w:t>
            </w:r>
          </w:p>
        </w:tc>
        <w:tc>
          <w:tcPr>
            <w:tcW w:w="602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9</w:t>
            </w:r>
          </w:p>
        </w:tc>
        <w:tc>
          <w:tcPr>
            <w:tcW w:w="603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35E7E" w:rsidRPr="00D93865" w:rsidRDefault="00125215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3,7</w:t>
            </w:r>
          </w:p>
        </w:tc>
        <w:tc>
          <w:tcPr>
            <w:tcW w:w="1276" w:type="dxa"/>
            <w:shd w:val="clear" w:color="auto" w:fill="auto"/>
          </w:tcPr>
          <w:p w:rsidR="00F35E7E" w:rsidRDefault="00125215" w:rsidP="00225217">
            <w:pPr>
              <w:jc w:val="center"/>
            </w:pPr>
            <w:r>
              <w:t>92</w:t>
            </w:r>
          </w:p>
        </w:tc>
        <w:tc>
          <w:tcPr>
            <w:tcW w:w="1276" w:type="dxa"/>
          </w:tcPr>
          <w:p w:rsidR="00F35E7E" w:rsidRPr="00D93865" w:rsidRDefault="00125215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66</w:t>
            </w:r>
          </w:p>
        </w:tc>
        <w:tc>
          <w:tcPr>
            <w:tcW w:w="1984" w:type="dxa"/>
          </w:tcPr>
          <w:p w:rsidR="00F35E7E" w:rsidRDefault="00DB35BE" w:rsidP="00225217">
            <w:pPr>
              <w:jc w:val="center"/>
              <w:rPr>
                <w:rFonts w:ascii="Calibri" w:hAnsi="Calibri"/>
                <w:lang w:eastAsia="en-US"/>
              </w:rPr>
            </w:pPr>
            <w:proofErr w:type="spellStart"/>
            <w:r>
              <w:rPr>
                <w:rFonts w:ascii="Calibri" w:hAnsi="Calibri"/>
                <w:lang w:eastAsia="en-US"/>
              </w:rPr>
              <w:t>Делеева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В.С.</w:t>
            </w:r>
          </w:p>
        </w:tc>
      </w:tr>
      <w:tr w:rsidR="00F35E7E" w:rsidTr="00F35E7E">
        <w:tc>
          <w:tcPr>
            <w:tcW w:w="6096" w:type="dxa"/>
            <w:shd w:val="clear" w:color="auto" w:fill="auto"/>
          </w:tcPr>
          <w:p w:rsidR="00F35E7E" w:rsidRPr="00C9572E" w:rsidRDefault="00F35E7E" w:rsidP="00225217">
            <w:r w:rsidRPr="00C9572E">
              <w:t xml:space="preserve">МКОУ </w:t>
            </w:r>
            <w:r>
              <w:t xml:space="preserve"> «Кировская </w:t>
            </w:r>
            <w:r w:rsidRPr="00683616">
              <w:t xml:space="preserve"> сред</w:t>
            </w:r>
            <w:r>
              <w:t>няя общеобразовательная школа</w:t>
            </w:r>
            <w:r w:rsidRPr="00683616">
              <w:t>»</w:t>
            </w:r>
          </w:p>
        </w:tc>
        <w:tc>
          <w:tcPr>
            <w:tcW w:w="1134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</w:t>
            </w:r>
          </w:p>
        </w:tc>
        <w:tc>
          <w:tcPr>
            <w:tcW w:w="602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</w:t>
            </w:r>
          </w:p>
        </w:tc>
        <w:tc>
          <w:tcPr>
            <w:tcW w:w="603" w:type="dxa"/>
            <w:shd w:val="clear" w:color="auto" w:fill="auto"/>
          </w:tcPr>
          <w:p w:rsidR="00F35E7E" w:rsidRPr="00D93865" w:rsidRDefault="00F35E7E" w:rsidP="00225217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</w:t>
            </w:r>
          </w:p>
        </w:tc>
        <w:tc>
          <w:tcPr>
            <w:tcW w:w="602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11</w:t>
            </w:r>
          </w:p>
        </w:tc>
        <w:tc>
          <w:tcPr>
            <w:tcW w:w="603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35E7E" w:rsidRPr="00D93865" w:rsidRDefault="00125215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3,33</w:t>
            </w:r>
          </w:p>
        </w:tc>
        <w:tc>
          <w:tcPr>
            <w:tcW w:w="1276" w:type="dxa"/>
            <w:shd w:val="clear" w:color="auto" w:fill="auto"/>
          </w:tcPr>
          <w:p w:rsidR="00F35E7E" w:rsidRDefault="00125215" w:rsidP="00225217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F35E7E" w:rsidRPr="00D93865" w:rsidRDefault="00125215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27</w:t>
            </w:r>
          </w:p>
        </w:tc>
        <w:tc>
          <w:tcPr>
            <w:tcW w:w="1984" w:type="dxa"/>
          </w:tcPr>
          <w:p w:rsidR="00F35E7E" w:rsidRDefault="00DB35BE" w:rsidP="00DB35BE">
            <w:pPr>
              <w:tabs>
                <w:tab w:val="left" w:pos="231"/>
              </w:tabs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ab/>
              <w:t>Лопатка Е.В.</w:t>
            </w:r>
          </w:p>
        </w:tc>
      </w:tr>
      <w:tr w:rsidR="00F35E7E" w:rsidTr="00F35E7E">
        <w:tc>
          <w:tcPr>
            <w:tcW w:w="6096" w:type="dxa"/>
            <w:shd w:val="clear" w:color="auto" w:fill="auto"/>
          </w:tcPr>
          <w:p w:rsidR="00F35E7E" w:rsidRPr="00C9572E" w:rsidRDefault="00F35E7E" w:rsidP="00225217">
            <w:r w:rsidRPr="00C9572E">
              <w:t xml:space="preserve">МКОУ </w:t>
            </w:r>
            <w:r>
              <w:t>«Чапаевская</w:t>
            </w:r>
            <w:r w:rsidRPr="00683616">
              <w:t xml:space="preserve">  средняя общеобразовательная школа»</w:t>
            </w:r>
          </w:p>
        </w:tc>
        <w:tc>
          <w:tcPr>
            <w:tcW w:w="1134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</w:t>
            </w:r>
          </w:p>
        </w:tc>
        <w:tc>
          <w:tcPr>
            <w:tcW w:w="602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0</w:t>
            </w:r>
          </w:p>
        </w:tc>
        <w:tc>
          <w:tcPr>
            <w:tcW w:w="603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</w:t>
            </w:r>
          </w:p>
        </w:tc>
        <w:tc>
          <w:tcPr>
            <w:tcW w:w="602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</w:t>
            </w:r>
          </w:p>
        </w:tc>
        <w:tc>
          <w:tcPr>
            <w:tcW w:w="603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35E7E" w:rsidRPr="00D93865" w:rsidRDefault="00125215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3,25</w:t>
            </w:r>
          </w:p>
        </w:tc>
        <w:tc>
          <w:tcPr>
            <w:tcW w:w="1276" w:type="dxa"/>
            <w:shd w:val="clear" w:color="auto" w:fill="auto"/>
          </w:tcPr>
          <w:p w:rsidR="00F35E7E" w:rsidRDefault="00125215" w:rsidP="00225217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F35E7E" w:rsidRPr="00D93865" w:rsidRDefault="00125215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25</w:t>
            </w:r>
          </w:p>
        </w:tc>
        <w:tc>
          <w:tcPr>
            <w:tcW w:w="1984" w:type="dxa"/>
          </w:tcPr>
          <w:p w:rsidR="00F35E7E" w:rsidRDefault="00DB35BE" w:rsidP="00225217">
            <w:pPr>
              <w:jc w:val="center"/>
              <w:rPr>
                <w:rFonts w:ascii="Calibri" w:hAnsi="Calibri"/>
                <w:lang w:eastAsia="en-US"/>
              </w:rPr>
            </w:pPr>
            <w:proofErr w:type="spellStart"/>
            <w:r>
              <w:rPr>
                <w:rFonts w:ascii="Calibri" w:hAnsi="Calibri"/>
                <w:lang w:eastAsia="en-US"/>
              </w:rPr>
              <w:t>Садманова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Е.Н.</w:t>
            </w:r>
          </w:p>
        </w:tc>
      </w:tr>
      <w:tr w:rsidR="00F35E7E" w:rsidTr="00F35E7E">
        <w:tc>
          <w:tcPr>
            <w:tcW w:w="6096" w:type="dxa"/>
            <w:shd w:val="clear" w:color="auto" w:fill="auto"/>
          </w:tcPr>
          <w:p w:rsidR="00F35E7E" w:rsidRPr="00C9572E" w:rsidRDefault="00F35E7E" w:rsidP="00225217">
            <w:r w:rsidRPr="00C9572E">
              <w:t xml:space="preserve">МКОУ </w:t>
            </w:r>
            <w:r>
              <w:t>«Южная</w:t>
            </w:r>
            <w:r w:rsidRPr="00683616">
              <w:t xml:space="preserve">  средняя общеобразовательная школа»</w:t>
            </w:r>
          </w:p>
        </w:tc>
        <w:tc>
          <w:tcPr>
            <w:tcW w:w="1134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8</w:t>
            </w:r>
          </w:p>
        </w:tc>
        <w:tc>
          <w:tcPr>
            <w:tcW w:w="602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</w:t>
            </w:r>
          </w:p>
        </w:tc>
        <w:tc>
          <w:tcPr>
            <w:tcW w:w="603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</w:t>
            </w:r>
          </w:p>
        </w:tc>
        <w:tc>
          <w:tcPr>
            <w:tcW w:w="602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</w:t>
            </w:r>
          </w:p>
        </w:tc>
        <w:tc>
          <w:tcPr>
            <w:tcW w:w="603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35E7E" w:rsidRPr="00D93865" w:rsidRDefault="00125215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3,38</w:t>
            </w:r>
          </w:p>
        </w:tc>
        <w:tc>
          <w:tcPr>
            <w:tcW w:w="1276" w:type="dxa"/>
            <w:shd w:val="clear" w:color="auto" w:fill="auto"/>
          </w:tcPr>
          <w:p w:rsidR="00F35E7E" w:rsidRDefault="00125215" w:rsidP="00225217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F35E7E" w:rsidRPr="00D93865" w:rsidRDefault="00125215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25</w:t>
            </w:r>
          </w:p>
        </w:tc>
        <w:tc>
          <w:tcPr>
            <w:tcW w:w="1984" w:type="dxa"/>
          </w:tcPr>
          <w:p w:rsidR="00F35E7E" w:rsidRDefault="00DB35BE" w:rsidP="00225217">
            <w:pPr>
              <w:jc w:val="center"/>
              <w:rPr>
                <w:rFonts w:ascii="Calibri" w:hAnsi="Calibri"/>
                <w:lang w:eastAsia="en-US"/>
              </w:rPr>
            </w:pPr>
            <w:proofErr w:type="spellStart"/>
            <w:r>
              <w:rPr>
                <w:rFonts w:ascii="Calibri" w:hAnsi="Calibri"/>
                <w:lang w:eastAsia="en-US"/>
              </w:rPr>
              <w:t>Шаварикова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С.Б.</w:t>
            </w:r>
          </w:p>
        </w:tc>
      </w:tr>
      <w:tr w:rsidR="00F35E7E" w:rsidTr="00F35E7E">
        <w:tc>
          <w:tcPr>
            <w:tcW w:w="6096" w:type="dxa"/>
            <w:shd w:val="clear" w:color="auto" w:fill="auto"/>
          </w:tcPr>
          <w:p w:rsidR="00F35E7E" w:rsidRPr="00C9572E" w:rsidRDefault="00F35E7E" w:rsidP="00225217">
            <w:r>
              <w:t>МКОУ «</w:t>
            </w:r>
            <w:proofErr w:type="spellStart"/>
            <w:r>
              <w:t>Виноградненский</w:t>
            </w:r>
            <w:proofErr w:type="spellEnd"/>
            <w:r>
              <w:t xml:space="preserve"> лицей</w:t>
            </w:r>
            <w:r w:rsidRPr="00683616">
              <w:t xml:space="preserve"> им. </w:t>
            </w:r>
            <w:proofErr w:type="gramStart"/>
            <w:r w:rsidRPr="00683616">
              <w:t>Дедова</w:t>
            </w:r>
            <w:proofErr w:type="gramEnd"/>
            <w:r w:rsidRPr="00683616">
              <w:t xml:space="preserve"> Ф.И.»»</w:t>
            </w:r>
          </w:p>
        </w:tc>
        <w:tc>
          <w:tcPr>
            <w:tcW w:w="1134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29</w:t>
            </w:r>
          </w:p>
        </w:tc>
        <w:tc>
          <w:tcPr>
            <w:tcW w:w="602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</w:t>
            </w:r>
          </w:p>
        </w:tc>
        <w:tc>
          <w:tcPr>
            <w:tcW w:w="603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</w:t>
            </w:r>
          </w:p>
        </w:tc>
        <w:tc>
          <w:tcPr>
            <w:tcW w:w="602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</w:t>
            </w:r>
          </w:p>
        </w:tc>
        <w:tc>
          <w:tcPr>
            <w:tcW w:w="603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35E7E" w:rsidRPr="00D93865" w:rsidRDefault="00125215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3,55</w:t>
            </w:r>
          </w:p>
        </w:tc>
        <w:tc>
          <w:tcPr>
            <w:tcW w:w="1276" w:type="dxa"/>
            <w:shd w:val="clear" w:color="auto" w:fill="auto"/>
          </w:tcPr>
          <w:p w:rsidR="00F35E7E" w:rsidRDefault="00125215" w:rsidP="00225217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F35E7E" w:rsidRPr="00D93865" w:rsidRDefault="00125215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45</w:t>
            </w:r>
          </w:p>
        </w:tc>
        <w:tc>
          <w:tcPr>
            <w:tcW w:w="1984" w:type="dxa"/>
          </w:tcPr>
          <w:p w:rsidR="00F35E7E" w:rsidRDefault="00DB35B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Ковалик Е.И.</w:t>
            </w:r>
          </w:p>
        </w:tc>
      </w:tr>
      <w:tr w:rsidR="00F35E7E" w:rsidTr="00F35E7E">
        <w:tc>
          <w:tcPr>
            <w:tcW w:w="6096" w:type="dxa"/>
            <w:shd w:val="clear" w:color="auto" w:fill="auto"/>
          </w:tcPr>
          <w:p w:rsidR="00F35E7E" w:rsidRDefault="00F35E7E" w:rsidP="00225217">
            <w:r>
              <w:t>Бадмаев А.</w:t>
            </w:r>
          </w:p>
        </w:tc>
        <w:tc>
          <w:tcPr>
            <w:tcW w:w="1134" w:type="dxa"/>
            <w:shd w:val="clear" w:color="auto" w:fill="auto"/>
          </w:tcPr>
          <w:p w:rsidR="00F35E7E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</w:t>
            </w:r>
          </w:p>
        </w:tc>
        <w:tc>
          <w:tcPr>
            <w:tcW w:w="602" w:type="dxa"/>
            <w:shd w:val="clear" w:color="auto" w:fill="auto"/>
          </w:tcPr>
          <w:p w:rsidR="00F35E7E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</w:t>
            </w:r>
          </w:p>
        </w:tc>
        <w:tc>
          <w:tcPr>
            <w:tcW w:w="603" w:type="dxa"/>
            <w:shd w:val="clear" w:color="auto" w:fill="auto"/>
          </w:tcPr>
          <w:p w:rsidR="00F35E7E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0</w:t>
            </w:r>
          </w:p>
        </w:tc>
        <w:tc>
          <w:tcPr>
            <w:tcW w:w="602" w:type="dxa"/>
            <w:shd w:val="clear" w:color="auto" w:fill="auto"/>
          </w:tcPr>
          <w:p w:rsidR="00F35E7E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0</w:t>
            </w:r>
          </w:p>
        </w:tc>
        <w:tc>
          <w:tcPr>
            <w:tcW w:w="603" w:type="dxa"/>
            <w:shd w:val="clear" w:color="auto" w:fill="auto"/>
          </w:tcPr>
          <w:p w:rsidR="00F35E7E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35E7E" w:rsidRDefault="00F35E7E" w:rsidP="00225217">
            <w:pPr>
              <w:jc w:val="center"/>
            </w:pPr>
          </w:p>
        </w:tc>
        <w:tc>
          <w:tcPr>
            <w:tcW w:w="1276" w:type="dxa"/>
          </w:tcPr>
          <w:p w:rsidR="00F35E7E" w:rsidRPr="00D93865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1984" w:type="dxa"/>
          </w:tcPr>
          <w:p w:rsidR="00F35E7E" w:rsidRDefault="00F35E7E" w:rsidP="00225217">
            <w:pPr>
              <w:jc w:val="center"/>
              <w:rPr>
                <w:rFonts w:ascii="Calibri" w:hAnsi="Calibri"/>
                <w:lang w:eastAsia="en-US"/>
              </w:rPr>
            </w:pPr>
          </w:p>
        </w:tc>
      </w:tr>
      <w:tr w:rsidR="003C32C4" w:rsidTr="00F35E7E">
        <w:tc>
          <w:tcPr>
            <w:tcW w:w="6096" w:type="dxa"/>
            <w:vMerge w:val="restart"/>
            <w:shd w:val="clear" w:color="auto" w:fill="auto"/>
          </w:tcPr>
          <w:p w:rsidR="003C32C4" w:rsidRPr="00401753" w:rsidRDefault="003C32C4" w:rsidP="00225217">
            <w:pPr>
              <w:rPr>
                <w:b/>
              </w:rPr>
            </w:pPr>
            <w:r w:rsidRPr="00401753">
              <w:rPr>
                <w:b/>
              </w:rPr>
              <w:t>Всего по району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32C4" w:rsidRPr="00401753" w:rsidRDefault="003C32C4" w:rsidP="00225217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169</w:t>
            </w:r>
          </w:p>
        </w:tc>
        <w:tc>
          <w:tcPr>
            <w:tcW w:w="602" w:type="dxa"/>
            <w:shd w:val="clear" w:color="auto" w:fill="auto"/>
          </w:tcPr>
          <w:p w:rsidR="003C32C4" w:rsidRPr="00401753" w:rsidRDefault="003C32C4" w:rsidP="00225217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12</w:t>
            </w:r>
          </w:p>
        </w:tc>
        <w:tc>
          <w:tcPr>
            <w:tcW w:w="603" w:type="dxa"/>
            <w:shd w:val="clear" w:color="auto" w:fill="auto"/>
          </w:tcPr>
          <w:p w:rsidR="003C32C4" w:rsidRPr="00401753" w:rsidRDefault="003C32C4" w:rsidP="00225217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65</w:t>
            </w:r>
          </w:p>
        </w:tc>
        <w:tc>
          <w:tcPr>
            <w:tcW w:w="602" w:type="dxa"/>
            <w:shd w:val="clear" w:color="auto" w:fill="auto"/>
          </w:tcPr>
          <w:p w:rsidR="003C32C4" w:rsidRPr="00401753" w:rsidRDefault="003C32C4" w:rsidP="00225217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85</w:t>
            </w:r>
          </w:p>
        </w:tc>
        <w:tc>
          <w:tcPr>
            <w:tcW w:w="603" w:type="dxa"/>
            <w:shd w:val="clear" w:color="auto" w:fill="auto"/>
          </w:tcPr>
          <w:p w:rsidR="003C32C4" w:rsidRPr="00401753" w:rsidRDefault="003C32C4" w:rsidP="00225217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32C4" w:rsidRPr="00401753" w:rsidRDefault="003C32C4" w:rsidP="00225217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3,5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32C4" w:rsidRPr="00401753" w:rsidRDefault="003C32C4" w:rsidP="00225217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276" w:type="dxa"/>
            <w:vMerge w:val="restart"/>
          </w:tcPr>
          <w:p w:rsidR="003C32C4" w:rsidRPr="00401753" w:rsidRDefault="003C32C4" w:rsidP="00225217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46</w:t>
            </w:r>
          </w:p>
        </w:tc>
        <w:tc>
          <w:tcPr>
            <w:tcW w:w="1984" w:type="dxa"/>
            <w:vMerge w:val="restart"/>
          </w:tcPr>
          <w:p w:rsidR="003C32C4" w:rsidRDefault="003C32C4" w:rsidP="00225217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C32C4" w:rsidTr="00F35E7E">
        <w:tc>
          <w:tcPr>
            <w:tcW w:w="6096" w:type="dxa"/>
            <w:vMerge/>
            <w:shd w:val="clear" w:color="auto" w:fill="auto"/>
          </w:tcPr>
          <w:p w:rsidR="003C32C4" w:rsidRPr="00401753" w:rsidRDefault="003C32C4" w:rsidP="00225217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32C4" w:rsidRDefault="003C32C4" w:rsidP="00225217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602" w:type="dxa"/>
            <w:shd w:val="clear" w:color="auto" w:fill="auto"/>
          </w:tcPr>
          <w:p w:rsidR="003C32C4" w:rsidRDefault="003C32C4" w:rsidP="00225217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7%</w:t>
            </w:r>
          </w:p>
        </w:tc>
        <w:tc>
          <w:tcPr>
            <w:tcW w:w="603" w:type="dxa"/>
            <w:shd w:val="clear" w:color="auto" w:fill="auto"/>
          </w:tcPr>
          <w:p w:rsidR="003C32C4" w:rsidRDefault="003C32C4" w:rsidP="00225217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38%</w:t>
            </w:r>
          </w:p>
        </w:tc>
        <w:tc>
          <w:tcPr>
            <w:tcW w:w="602" w:type="dxa"/>
            <w:shd w:val="clear" w:color="auto" w:fill="auto"/>
          </w:tcPr>
          <w:p w:rsidR="003C32C4" w:rsidRDefault="003C32C4" w:rsidP="00225217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50%</w:t>
            </w:r>
          </w:p>
        </w:tc>
        <w:tc>
          <w:tcPr>
            <w:tcW w:w="603" w:type="dxa"/>
            <w:shd w:val="clear" w:color="auto" w:fill="auto"/>
          </w:tcPr>
          <w:p w:rsidR="003C32C4" w:rsidRDefault="003C32C4" w:rsidP="00225217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4%</w:t>
            </w:r>
          </w:p>
        </w:tc>
        <w:tc>
          <w:tcPr>
            <w:tcW w:w="1134" w:type="dxa"/>
            <w:vMerge/>
            <w:shd w:val="clear" w:color="auto" w:fill="auto"/>
          </w:tcPr>
          <w:p w:rsidR="003C32C4" w:rsidRDefault="003C32C4" w:rsidP="00225217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32C4" w:rsidRDefault="003C32C4" w:rsidP="00225217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3C32C4" w:rsidRDefault="003C32C4" w:rsidP="00225217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984" w:type="dxa"/>
            <w:vMerge/>
          </w:tcPr>
          <w:p w:rsidR="003C32C4" w:rsidRDefault="003C32C4" w:rsidP="00225217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</w:tbl>
    <w:p w:rsidR="00383BB4" w:rsidRDefault="00383BB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10380" w:rsidRDefault="00F1038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83BB4">
        <w:rPr>
          <w:rFonts w:ascii="Times New Roman" w:hAnsi="Times New Roman" w:cs="Times New Roman"/>
          <w:b/>
          <w:i/>
          <w:sz w:val="24"/>
          <w:szCs w:val="24"/>
        </w:rPr>
        <w:lastRenderedPageBreak/>
        <w:t>1.5. Выводы и рекомендации</w:t>
      </w:r>
    </w:p>
    <w:p w:rsidR="006C71FB" w:rsidRDefault="006C71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Выводы:</w:t>
      </w:r>
    </w:p>
    <w:p w:rsidR="001A28F1" w:rsidRDefault="001A28F1" w:rsidP="001A28F1">
      <w:pPr>
        <w:pStyle w:val="a7"/>
        <w:numPr>
          <w:ilvl w:val="0"/>
          <w:numId w:val="1"/>
        </w:numPr>
        <w:tabs>
          <w:tab w:val="left" w:pos="1965"/>
        </w:tabs>
      </w:pPr>
      <w:r>
        <w:t>Отслеживание хода подготовки к ОГЭ по математике велось  на протяжении всего учебного года на всех уровнях: учителями математики, классными руководителями соответствующих классов, администрацией образовательных учреждений и УО ГРМО. Вопросы, связанные с  методической и организационной подготовкой  к ОГЭ,  постоянно рассматривались на заседаниях РМО учителей математики.</w:t>
      </w:r>
    </w:p>
    <w:p w:rsidR="001A28F1" w:rsidRDefault="0020152A" w:rsidP="001A28F1">
      <w:pPr>
        <w:pStyle w:val="a7"/>
        <w:numPr>
          <w:ilvl w:val="0"/>
          <w:numId w:val="1"/>
        </w:numPr>
        <w:tabs>
          <w:tab w:val="left" w:pos="1965"/>
        </w:tabs>
      </w:pPr>
      <w:proofErr w:type="gramStart"/>
      <w:r>
        <w:t xml:space="preserve">Результаты  районного репетиционного ОГЭ по математике </w:t>
      </w:r>
      <w:r w:rsidR="001A28F1">
        <w:t xml:space="preserve"> внушали серьёзные</w:t>
      </w:r>
      <w:r>
        <w:t xml:space="preserve"> опасения за результаты ОГЭ-2019</w:t>
      </w:r>
      <w:r w:rsidR="006C71FB">
        <w:t>.</w:t>
      </w:r>
      <w:proofErr w:type="gramEnd"/>
      <w:r w:rsidR="006C71FB">
        <w:t xml:space="preserve">  Р</w:t>
      </w:r>
      <w:r w:rsidR="001A28F1">
        <w:t xml:space="preserve">езультаты </w:t>
      </w:r>
      <w:r w:rsidR="006C71FB">
        <w:t xml:space="preserve">репетиционного ОГЭ </w:t>
      </w:r>
      <w:r w:rsidR="001A28F1">
        <w:t>тщательно анализировались по каждому ученику, по каждому заданию работы с тем, чтобы выстроить индивидуальную траекторию по коррекции знаний и подготовке  каждого выпускника основной школы к итоговой аттестации.</w:t>
      </w:r>
    </w:p>
    <w:p w:rsidR="001A28F1" w:rsidRDefault="001A28F1" w:rsidP="001A28F1">
      <w:pPr>
        <w:pStyle w:val="a7"/>
        <w:tabs>
          <w:tab w:val="left" w:pos="1965"/>
        </w:tabs>
      </w:pPr>
      <w:r>
        <w:t>Следует отметить, что проблемы (пробелы в знаниях) начинаются ещё в начальной школе, - это подтверждается результатами ежегодного входного мониторинга в 5 классах. Многие выпускники начальной школы плохо читают, не понимают смысла и вопроса задания, плохо владеют вычислительными навыками. В дальнейшем эти проблемы только усиливаются.</w:t>
      </w:r>
    </w:p>
    <w:p w:rsidR="001A28F1" w:rsidRDefault="001A28F1" w:rsidP="001A28F1">
      <w:pPr>
        <w:pStyle w:val="a7"/>
        <w:numPr>
          <w:ilvl w:val="0"/>
          <w:numId w:val="1"/>
        </w:numPr>
        <w:tabs>
          <w:tab w:val="left" w:pos="1965"/>
        </w:tabs>
      </w:pPr>
      <w:r>
        <w:t>Традиционно наибольшие затруднения вызывают задания блока «Геометрия». Геометрия – один из самых сложных школьных предметов. Изучение геометрии вносит наибольший (по сравнению со всеми остальными школьными предметами) вклад в развитие интеллекта учащегося. Вместе с тем, для решения геометрических задач нет готовых схем, алгоритмов, как  есть, например, в алгебре: алгоритм решения различных видов уравнений, неравенств и т.д. Научиться решать геометрические задачи можно,  лишь постоянно решая геометрические задачи. И начинать это делать надо ещё в начальной школе, где детей знакомят с начальными геометрическими сведениями. Большой вред успешному освоению геометрии нанесло исключение из числа школьных предметов предмета «черчение». Как известно, правильный чертёж к задаче -  одно из условий её  успешного решения. К сожалению, очень малая часть учащихся способна сделать такой чертёж.</w:t>
      </w:r>
    </w:p>
    <w:p w:rsidR="001A28F1" w:rsidRDefault="001A28F1" w:rsidP="001A28F1">
      <w:pPr>
        <w:pStyle w:val="a7"/>
        <w:numPr>
          <w:ilvl w:val="0"/>
          <w:numId w:val="1"/>
        </w:numPr>
        <w:tabs>
          <w:tab w:val="left" w:pos="1965"/>
        </w:tabs>
      </w:pPr>
      <w:r>
        <w:t>Ещё одна проблема, с которой сталкиваются учителя математики при подготовке учащихся к ОГЭ и вообще при обучении математике, - отсутствие у детей привычки думать, размышлять над задачей, проводить её исследование. Зачем? Ведь есть готовые решения к любому учебнику, к любому сборнику задач и, конечно же, всё есть в Интернете. В результате всё меньшее количество учащихся способно получать удовольствие от интеллектуальной деятельности и стремиться к ней. Даже при проведении олимпиад и мониторингов есть опасность такого «решения» задач.</w:t>
      </w:r>
    </w:p>
    <w:p w:rsidR="001A28F1" w:rsidRDefault="0020152A" w:rsidP="001A28F1">
      <w:pPr>
        <w:pStyle w:val="a7"/>
        <w:numPr>
          <w:ilvl w:val="0"/>
          <w:numId w:val="1"/>
        </w:numPr>
        <w:tabs>
          <w:tab w:val="left" w:pos="1965"/>
        </w:tabs>
      </w:pPr>
      <w:r>
        <w:t xml:space="preserve">С каждым годом уменьшается доля учащихся, мотивированных на изучение предмета. Это относится не только к математике. </w:t>
      </w:r>
    </w:p>
    <w:p w:rsidR="001A28F1" w:rsidRDefault="0020152A" w:rsidP="006C71FB">
      <w:pPr>
        <w:tabs>
          <w:tab w:val="left" w:pos="1965"/>
        </w:tabs>
        <w:ind w:left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7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Мотивация детей и подростков к обучению – один из ключевых вопросов всех методик и подходов современной педагогики. Сегодня школы заполнены детьми и подростками, </w:t>
      </w:r>
      <w:r w:rsidR="006C7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чье будущее в очень малой степени связано</w:t>
      </w:r>
      <w:r w:rsidRPr="006C7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полученными в школе знаниями.  Знание в обыденном понимании этого слова окончательно утратило свое  социальное значение, перестало опознаваться как фактор, ведущий к лучшей жизни. </w:t>
      </w:r>
      <w:r w:rsidR="006C7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это проблема всего нашего общества, а не учителя.</w:t>
      </w:r>
    </w:p>
    <w:p w:rsidR="001A28F1" w:rsidRPr="003C32C4" w:rsidRDefault="006C71FB" w:rsidP="003C32C4">
      <w:pPr>
        <w:tabs>
          <w:tab w:val="left" w:pos="1965"/>
        </w:tabs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6C71FB">
        <w:rPr>
          <w:rFonts w:ascii="Times New Roman" w:hAnsi="Times New Roman" w:cs="Times New Roman"/>
          <w:b/>
          <w:i/>
          <w:sz w:val="24"/>
          <w:szCs w:val="24"/>
        </w:rPr>
        <w:lastRenderedPageBreak/>
        <w:t>Рекомендации:</w:t>
      </w:r>
    </w:p>
    <w:p w:rsidR="00BE4491" w:rsidRPr="008A3DEE" w:rsidRDefault="00BE449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A3DEE">
        <w:rPr>
          <w:rFonts w:ascii="Times New Roman" w:hAnsi="Times New Roman" w:cs="Times New Roman"/>
          <w:b/>
          <w:i/>
          <w:sz w:val="24"/>
          <w:szCs w:val="24"/>
        </w:rPr>
        <w:t>УО</w:t>
      </w:r>
    </w:p>
    <w:p w:rsidR="008A3DEE" w:rsidRPr="008A3DEE" w:rsidRDefault="008A3DEE" w:rsidP="008A3DEE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A3DEE">
        <w:rPr>
          <w:rFonts w:ascii="Times New Roman" w:hAnsi="Times New Roman" w:cs="Times New Roman"/>
          <w:sz w:val="24"/>
          <w:szCs w:val="24"/>
        </w:rPr>
        <w:t>Для раннего выявления проблемных зон обучающихся на ранних сроках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DEE">
        <w:rPr>
          <w:rFonts w:ascii="Times New Roman" w:hAnsi="Times New Roman" w:cs="Times New Roman"/>
          <w:sz w:val="24"/>
          <w:szCs w:val="24"/>
        </w:rPr>
        <w:t xml:space="preserve"> проводит</w:t>
      </w:r>
      <w:r>
        <w:rPr>
          <w:rFonts w:ascii="Times New Roman" w:hAnsi="Times New Roman" w:cs="Times New Roman"/>
          <w:sz w:val="24"/>
          <w:szCs w:val="24"/>
        </w:rPr>
        <w:t xml:space="preserve">ь  районный </w:t>
      </w:r>
      <w:r w:rsidRPr="008A3DEE">
        <w:rPr>
          <w:rFonts w:ascii="Times New Roman" w:hAnsi="Times New Roman" w:cs="Times New Roman"/>
          <w:sz w:val="24"/>
          <w:szCs w:val="24"/>
        </w:rPr>
        <w:t xml:space="preserve"> мониторинг качества образования, диагностические </w:t>
      </w:r>
      <w:r>
        <w:rPr>
          <w:rFonts w:ascii="Times New Roman" w:hAnsi="Times New Roman" w:cs="Times New Roman"/>
          <w:sz w:val="24"/>
          <w:szCs w:val="24"/>
        </w:rPr>
        <w:t xml:space="preserve">работы. Результаты </w:t>
      </w:r>
      <w:r w:rsidRPr="008A3DEE">
        <w:rPr>
          <w:rFonts w:ascii="Times New Roman" w:hAnsi="Times New Roman" w:cs="Times New Roman"/>
          <w:sz w:val="24"/>
          <w:szCs w:val="24"/>
        </w:rPr>
        <w:t xml:space="preserve"> мониторинга и диагностических работ могут быть использованы образовательными организациями для своевременной корректировки образовательного процесса, формирования индивидуальных планов обучения для отдельных категорий обучающихся. Кроме того, диагностические работы проходят в условиях, максимально приближенных к выпускным экзаменам, что позволяет обучающимся ознакомиться с процедурой проведения экзамена, с правилами заполнения бланков, критериями оцени</w:t>
      </w:r>
      <w:r>
        <w:rPr>
          <w:rFonts w:ascii="Times New Roman" w:hAnsi="Times New Roman" w:cs="Times New Roman"/>
          <w:sz w:val="24"/>
          <w:szCs w:val="24"/>
        </w:rPr>
        <w:t xml:space="preserve">вания экзаменационных работ. </w:t>
      </w:r>
      <w:r w:rsidRPr="008A3DEE">
        <w:rPr>
          <w:rFonts w:ascii="Times New Roman" w:hAnsi="Times New Roman"/>
          <w:sz w:val="24"/>
          <w:szCs w:val="24"/>
        </w:rPr>
        <w:t xml:space="preserve">Мониторинг </w:t>
      </w:r>
      <w:r>
        <w:rPr>
          <w:rFonts w:ascii="Times New Roman" w:hAnsi="Times New Roman"/>
          <w:sz w:val="24"/>
          <w:szCs w:val="24"/>
        </w:rPr>
        <w:t xml:space="preserve"> также </w:t>
      </w:r>
      <w:r w:rsidRPr="008A3DEE">
        <w:rPr>
          <w:rFonts w:ascii="Times New Roman" w:hAnsi="Times New Roman"/>
          <w:sz w:val="24"/>
          <w:szCs w:val="24"/>
        </w:rPr>
        <w:t>обеспечивает возможность прогнозирования будущих отметок  на экзамене.</w:t>
      </w:r>
    </w:p>
    <w:p w:rsidR="0022329D" w:rsidRPr="008A3DEE" w:rsidRDefault="0022329D" w:rsidP="0022329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A3DEE">
        <w:rPr>
          <w:rFonts w:ascii="Times New Roman" w:hAnsi="Times New Roman" w:cs="Times New Roman"/>
          <w:b/>
          <w:i/>
          <w:sz w:val="24"/>
          <w:szCs w:val="24"/>
        </w:rPr>
        <w:t>ОО</w:t>
      </w:r>
    </w:p>
    <w:p w:rsidR="0022329D" w:rsidRPr="0022329D" w:rsidRDefault="0022329D" w:rsidP="00223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22329D">
        <w:rPr>
          <w:rFonts w:ascii="Times New Roman" w:hAnsi="Times New Roman" w:cs="Times New Roman"/>
          <w:sz w:val="24"/>
          <w:szCs w:val="24"/>
        </w:rPr>
        <w:t>Обеспечивать информационную и психологическую готовность всех участников ОГЭ: учителей, учащихся и их родителей. Связующим звеном этой цепочки является классный руководитель.</w:t>
      </w:r>
    </w:p>
    <w:p w:rsidR="0022329D" w:rsidRPr="0022329D" w:rsidRDefault="0022329D" w:rsidP="0022329D">
      <w:pPr>
        <w:rPr>
          <w:rFonts w:ascii="Times New Roman" w:hAnsi="Times New Roman" w:cs="Times New Roman"/>
          <w:sz w:val="24"/>
          <w:szCs w:val="24"/>
        </w:rPr>
      </w:pPr>
      <w:r w:rsidRPr="0022329D">
        <w:rPr>
          <w:rFonts w:ascii="Times New Roman" w:hAnsi="Times New Roman" w:cs="Times New Roman"/>
          <w:sz w:val="24"/>
          <w:szCs w:val="24"/>
        </w:rPr>
        <w:t>2. Для обеспечения методической готовности учителей математики к ОГЭ:</w:t>
      </w:r>
    </w:p>
    <w:p w:rsidR="0022329D" w:rsidRPr="0022329D" w:rsidRDefault="0022329D" w:rsidP="0022329D">
      <w:pPr>
        <w:rPr>
          <w:rFonts w:ascii="Times New Roman" w:hAnsi="Times New Roman" w:cs="Times New Roman"/>
          <w:sz w:val="24"/>
          <w:szCs w:val="24"/>
        </w:rPr>
      </w:pPr>
      <w:r w:rsidRPr="0022329D">
        <w:rPr>
          <w:rFonts w:ascii="Times New Roman" w:hAnsi="Times New Roman" w:cs="Times New Roman"/>
          <w:sz w:val="24"/>
          <w:szCs w:val="24"/>
        </w:rPr>
        <w:t>- своевременно знакомить учителей с нормативно-правовыми документами по ОГЭ;</w:t>
      </w:r>
    </w:p>
    <w:p w:rsidR="0022329D" w:rsidRPr="0022329D" w:rsidRDefault="0022329D" w:rsidP="0022329D">
      <w:pPr>
        <w:rPr>
          <w:rFonts w:ascii="Times New Roman" w:hAnsi="Times New Roman" w:cs="Times New Roman"/>
          <w:sz w:val="24"/>
          <w:szCs w:val="24"/>
        </w:rPr>
      </w:pPr>
      <w:r w:rsidRPr="0022329D">
        <w:rPr>
          <w:rFonts w:ascii="Times New Roman" w:hAnsi="Times New Roman" w:cs="Times New Roman"/>
          <w:sz w:val="24"/>
          <w:szCs w:val="24"/>
        </w:rPr>
        <w:t>- проводить пробные экзамены в формате ОГЭ с обсуждением их результатов на производственных совещаниях;</w:t>
      </w:r>
    </w:p>
    <w:p w:rsidR="0022329D" w:rsidRPr="0022329D" w:rsidRDefault="0022329D" w:rsidP="0022329D">
      <w:pPr>
        <w:rPr>
          <w:rFonts w:ascii="Times New Roman" w:hAnsi="Times New Roman" w:cs="Times New Roman"/>
          <w:sz w:val="24"/>
          <w:szCs w:val="24"/>
        </w:rPr>
      </w:pPr>
      <w:r w:rsidRPr="0022329D">
        <w:rPr>
          <w:rFonts w:ascii="Times New Roman" w:hAnsi="Times New Roman" w:cs="Times New Roman"/>
          <w:sz w:val="24"/>
          <w:szCs w:val="24"/>
        </w:rPr>
        <w:t>- использовать возможности курсовой подготовки по соответствующей тематике.</w:t>
      </w:r>
    </w:p>
    <w:p w:rsidR="0022329D" w:rsidRPr="0022329D" w:rsidRDefault="0022329D" w:rsidP="0022329D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329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2329D">
        <w:rPr>
          <w:rFonts w:ascii="Times New Roman" w:hAnsi="Times New Roman" w:cs="Times New Roman"/>
          <w:sz w:val="24"/>
          <w:szCs w:val="24"/>
        </w:rPr>
        <w:t>рганизовать равноправное, профессиональное сотрудничество с учителями-предметниками на основе индивидуального вклада каждого в общее трудное дело, каковым является система работы  педагогического коллектива по подготовке  обучающихся и их родителей к ОГЭ</w:t>
      </w:r>
      <w:r>
        <w:rPr>
          <w:rFonts w:ascii="Times New Roman" w:hAnsi="Times New Roman" w:cs="Times New Roman"/>
          <w:sz w:val="24"/>
          <w:szCs w:val="24"/>
        </w:rPr>
        <w:t>.   Все педагоги</w:t>
      </w:r>
      <w:r w:rsidRPr="0022329D">
        <w:rPr>
          <w:rFonts w:ascii="Times New Roman" w:hAnsi="Times New Roman" w:cs="Times New Roman"/>
          <w:sz w:val="24"/>
          <w:szCs w:val="24"/>
        </w:rPr>
        <w:t>, работающие в выпускных классах, решают общие образовательные задачи. Эффективность этой работы во многом зависит от согласованности действий всех участников образовательного процесса, от единства целей, задач и требований, предъявляемых уч</w:t>
      </w:r>
      <w:r>
        <w:rPr>
          <w:rFonts w:ascii="Times New Roman" w:hAnsi="Times New Roman" w:cs="Times New Roman"/>
          <w:sz w:val="24"/>
          <w:szCs w:val="24"/>
        </w:rPr>
        <w:t xml:space="preserve">еникам конкретного класса.    </w:t>
      </w:r>
    </w:p>
    <w:p w:rsidR="008A3DEE" w:rsidRPr="008A3DEE" w:rsidRDefault="008A3DEE">
      <w:pPr>
        <w:rPr>
          <w:rFonts w:ascii="Times New Roman" w:hAnsi="Times New Roman" w:cs="Times New Roman"/>
          <w:sz w:val="24"/>
          <w:szCs w:val="24"/>
        </w:rPr>
      </w:pPr>
    </w:p>
    <w:p w:rsidR="00383BB4" w:rsidRDefault="00383BB4">
      <w:pPr>
        <w:rPr>
          <w:rFonts w:ascii="Times New Roman" w:hAnsi="Times New Roman" w:cs="Times New Roman"/>
          <w:sz w:val="24"/>
          <w:szCs w:val="24"/>
        </w:rPr>
      </w:pPr>
    </w:p>
    <w:p w:rsidR="00BE4491" w:rsidRPr="00AB6632" w:rsidRDefault="00BE449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B6632">
        <w:rPr>
          <w:rFonts w:ascii="Times New Roman" w:hAnsi="Times New Roman" w:cs="Times New Roman"/>
          <w:b/>
          <w:i/>
          <w:sz w:val="24"/>
          <w:szCs w:val="24"/>
        </w:rPr>
        <w:lastRenderedPageBreak/>
        <w:t>Учителям</w:t>
      </w:r>
    </w:p>
    <w:p w:rsidR="005D5098" w:rsidRPr="00AB6632" w:rsidRDefault="00AB6632">
      <w:pPr>
        <w:rPr>
          <w:rFonts w:ascii="Times New Roman" w:hAnsi="Times New Roman" w:cs="Times New Roman"/>
          <w:sz w:val="24"/>
          <w:szCs w:val="24"/>
        </w:rPr>
      </w:pPr>
      <w:r w:rsidRPr="00AB6632">
        <w:rPr>
          <w:rFonts w:ascii="Times New Roman" w:hAnsi="Times New Roman" w:cs="Times New Roman"/>
          <w:sz w:val="24"/>
          <w:szCs w:val="24"/>
        </w:rPr>
        <w:t xml:space="preserve">1. </w:t>
      </w:r>
      <w:r w:rsidR="005D5098" w:rsidRPr="00AB6632">
        <w:rPr>
          <w:rFonts w:ascii="Times New Roman" w:hAnsi="Times New Roman" w:cs="Times New Roman"/>
          <w:sz w:val="24"/>
          <w:szCs w:val="24"/>
        </w:rPr>
        <w:t>Для более успешной под</w:t>
      </w:r>
      <w:r>
        <w:rPr>
          <w:rFonts w:ascii="Times New Roman" w:hAnsi="Times New Roman" w:cs="Times New Roman"/>
          <w:sz w:val="24"/>
          <w:szCs w:val="24"/>
        </w:rPr>
        <w:t xml:space="preserve">готовки к итоговой аттестации </w:t>
      </w:r>
      <w:r w:rsidR="005D5098" w:rsidRPr="00AB6632">
        <w:rPr>
          <w:rFonts w:ascii="Times New Roman" w:hAnsi="Times New Roman" w:cs="Times New Roman"/>
          <w:sz w:val="24"/>
          <w:szCs w:val="24"/>
        </w:rPr>
        <w:t xml:space="preserve"> всем учителям необходимо ознакомиться с ходом и результатами прошедшего экзамена, предусмотреть в планах работы обобщение и распространение накопленного опыта по подготовке учащихся к выполнению аттестационной работы.</w:t>
      </w:r>
    </w:p>
    <w:p w:rsidR="005D5098" w:rsidRPr="00AB6632" w:rsidRDefault="00AB6632">
      <w:pPr>
        <w:rPr>
          <w:rFonts w:ascii="Times New Roman" w:hAnsi="Times New Roman" w:cs="Times New Roman"/>
          <w:sz w:val="24"/>
          <w:szCs w:val="24"/>
        </w:rPr>
      </w:pPr>
      <w:r w:rsidRPr="00AB6632">
        <w:rPr>
          <w:rFonts w:ascii="Times New Roman" w:hAnsi="Times New Roman" w:cs="Times New Roman"/>
          <w:sz w:val="24"/>
          <w:szCs w:val="24"/>
        </w:rPr>
        <w:t xml:space="preserve">2. </w:t>
      </w:r>
      <w:r w:rsidR="005D5098" w:rsidRPr="00AB6632">
        <w:rPr>
          <w:rFonts w:ascii="Times New Roman" w:hAnsi="Times New Roman" w:cs="Times New Roman"/>
          <w:sz w:val="24"/>
          <w:szCs w:val="24"/>
        </w:rPr>
        <w:t xml:space="preserve">При подготовке учащихся к итоговой аттестации необходимо обратить внимание на следующее:  </w:t>
      </w:r>
    </w:p>
    <w:p w:rsidR="005D5098" w:rsidRPr="00AB6632" w:rsidRDefault="00AB66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5098" w:rsidRPr="00AB6632">
        <w:rPr>
          <w:rFonts w:ascii="Times New Roman" w:hAnsi="Times New Roman" w:cs="Times New Roman"/>
          <w:sz w:val="24"/>
          <w:szCs w:val="24"/>
        </w:rPr>
        <w:t>формировать у учащихся навыки самоконтроля;</w:t>
      </w:r>
    </w:p>
    <w:p w:rsidR="005D5098" w:rsidRPr="00AB6632" w:rsidRDefault="005D5098">
      <w:pPr>
        <w:rPr>
          <w:rFonts w:ascii="Times New Roman" w:hAnsi="Times New Roman" w:cs="Times New Roman"/>
          <w:sz w:val="24"/>
          <w:szCs w:val="24"/>
        </w:rPr>
      </w:pPr>
      <w:r w:rsidRPr="00AB6632">
        <w:rPr>
          <w:rFonts w:ascii="Times New Roman" w:hAnsi="Times New Roman" w:cs="Times New Roman"/>
          <w:sz w:val="24"/>
          <w:szCs w:val="24"/>
        </w:rPr>
        <w:t xml:space="preserve"> </w:t>
      </w:r>
      <w:r w:rsidR="00AB6632">
        <w:rPr>
          <w:rFonts w:ascii="Times New Roman" w:hAnsi="Times New Roman" w:cs="Times New Roman"/>
          <w:sz w:val="24"/>
          <w:szCs w:val="24"/>
        </w:rPr>
        <w:t xml:space="preserve">- </w:t>
      </w:r>
      <w:r w:rsidRPr="00AB6632">
        <w:rPr>
          <w:rFonts w:ascii="Times New Roman" w:hAnsi="Times New Roman" w:cs="Times New Roman"/>
          <w:sz w:val="24"/>
          <w:szCs w:val="24"/>
        </w:rPr>
        <w:t xml:space="preserve">формировать умения проверять ответ на правдоподобие;  </w:t>
      </w:r>
    </w:p>
    <w:p w:rsidR="005D5098" w:rsidRPr="00AB6632" w:rsidRDefault="00AB66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5098" w:rsidRPr="00AB6632">
        <w:rPr>
          <w:rFonts w:ascii="Times New Roman" w:hAnsi="Times New Roman" w:cs="Times New Roman"/>
          <w:sz w:val="24"/>
          <w:szCs w:val="24"/>
        </w:rPr>
        <w:t>систематически отрабатывать вычислительные навыки;</w:t>
      </w:r>
    </w:p>
    <w:p w:rsidR="005D5098" w:rsidRPr="00AB6632" w:rsidRDefault="005D5098">
      <w:pPr>
        <w:rPr>
          <w:rFonts w:ascii="Times New Roman" w:hAnsi="Times New Roman" w:cs="Times New Roman"/>
          <w:sz w:val="24"/>
          <w:szCs w:val="24"/>
        </w:rPr>
      </w:pPr>
      <w:r w:rsidRPr="00AB66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6632">
        <w:rPr>
          <w:rFonts w:ascii="Times New Roman" w:hAnsi="Times New Roman" w:cs="Times New Roman"/>
          <w:sz w:val="24"/>
          <w:szCs w:val="24"/>
        </w:rPr>
        <w:t>- учить  переходить</w:t>
      </w:r>
      <w:r w:rsidRPr="00AB6632">
        <w:rPr>
          <w:rFonts w:ascii="Times New Roman" w:hAnsi="Times New Roman" w:cs="Times New Roman"/>
          <w:sz w:val="24"/>
          <w:szCs w:val="24"/>
        </w:rPr>
        <w:t xml:space="preserve"> от словесной формулировки </w:t>
      </w:r>
      <w:r w:rsidR="008A3DEE">
        <w:rPr>
          <w:rFonts w:ascii="Times New Roman" w:hAnsi="Times New Roman" w:cs="Times New Roman"/>
          <w:sz w:val="24"/>
          <w:szCs w:val="24"/>
        </w:rPr>
        <w:t xml:space="preserve"> </w:t>
      </w:r>
      <w:r w:rsidRPr="00AB6632">
        <w:rPr>
          <w:rFonts w:ascii="Times New Roman" w:hAnsi="Times New Roman" w:cs="Times New Roman"/>
          <w:sz w:val="24"/>
          <w:szCs w:val="24"/>
        </w:rPr>
        <w:t>соотношений между величинами к алгебраической</w:t>
      </w:r>
      <w:r w:rsidR="00AB6632">
        <w:rPr>
          <w:rFonts w:ascii="Times New Roman" w:hAnsi="Times New Roman" w:cs="Times New Roman"/>
          <w:sz w:val="24"/>
          <w:szCs w:val="24"/>
        </w:rPr>
        <w:t>, то есть составлять математические модели</w:t>
      </w:r>
      <w:r w:rsidRPr="00AB6632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5D5098" w:rsidRPr="00AB6632" w:rsidRDefault="005D5098">
      <w:pPr>
        <w:rPr>
          <w:rFonts w:ascii="Times New Roman" w:hAnsi="Times New Roman" w:cs="Times New Roman"/>
          <w:sz w:val="24"/>
          <w:szCs w:val="24"/>
        </w:rPr>
      </w:pPr>
      <w:r w:rsidRPr="00AB6632">
        <w:rPr>
          <w:rFonts w:ascii="Times New Roman" w:hAnsi="Times New Roman" w:cs="Times New Roman"/>
          <w:sz w:val="24"/>
          <w:szCs w:val="24"/>
        </w:rPr>
        <w:t xml:space="preserve"> </w:t>
      </w:r>
      <w:r w:rsidR="00AB6632">
        <w:rPr>
          <w:rFonts w:ascii="Times New Roman" w:hAnsi="Times New Roman" w:cs="Times New Roman"/>
          <w:sz w:val="24"/>
          <w:szCs w:val="24"/>
        </w:rPr>
        <w:t xml:space="preserve">- </w:t>
      </w:r>
      <w:r w:rsidRPr="00AB6632">
        <w:rPr>
          <w:rFonts w:ascii="Times New Roman" w:hAnsi="Times New Roman" w:cs="Times New Roman"/>
          <w:sz w:val="24"/>
          <w:szCs w:val="24"/>
        </w:rPr>
        <w:t xml:space="preserve">проводить доказательные рассуждения при решении задач, выстраивать аргументацию при доказательстве, записывать математические рассуждения, доказательства, обращая внимание на точность и полноту приводимых обоснований. </w:t>
      </w:r>
    </w:p>
    <w:p w:rsidR="00AB6632" w:rsidRPr="00AB6632" w:rsidRDefault="00AB6632">
      <w:pPr>
        <w:rPr>
          <w:rFonts w:ascii="Times New Roman" w:hAnsi="Times New Roman" w:cs="Times New Roman"/>
          <w:sz w:val="24"/>
          <w:szCs w:val="24"/>
        </w:rPr>
      </w:pPr>
      <w:r w:rsidRPr="00AB6632">
        <w:rPr>
          <w:rFonts w:ascii="Times New Roman" w:hAnsi="Times New Roman" w:cs="Times New Roman"/>
          <w:sz w:val="24"/>
          <w:szCs w:val="24"/>
        </w:rPr>
        <w:t>3. Немаловажную роль играет психологическая подготовка учащихся, их собранность, настрой на успешное выполнение каждого из заданий работы. В ходе организации итогового повторения (при подготовке учащих</w:t>
      </w:r>
      <w:r w:rsidR="003C32C4">
        <w:rPr>
          <w:rFonts w:ascii="Times New Roman" w:hAnsi="Times New Roman" w:cs="Times New Roman"/>
          <w:sz w:val="24"/>
          <w:szCs w:val="24"/>
        </w:rPr>
        <w:t>ся к экзамену) необходимо обраща</w:t>
      </w:r>
      <w:r w:rsidRPr="00AB6632">
        <w:rPr>
          <w:rFonts w:ascii="Times New Roman" w:hAnsi="Times New Roman" w:cs="Times New Roman"/>
          <w:sz w:val="24"/>
          <w:szCs w:val="24"/>
        </w:rPr>
        <w:t xml:space="preserve">ть их внимание на то, что не следует стремиться выполнить первую часть работы за более короткое время. Каким бы легким не казалось то или иное задание, к его выполнению следует относиться предельно серьезно, именно поспешность наиболее часто приводит к появлению неточностей, описок, а значит, и к неверному ответу на вопрос задачи. </w:t>
      </w:r>
    </w:p>
    <w:p w:rsidR="00383BB4" w:rsidRPr="00AB6632" w:rsidRDefault="00AB6632">
      <w:pPr>
        <w:rPr>
          <w:rFonts w:ascii="Times New Roman" w:hAnsi="Times New Roman" w:cs="Times New Roman"/>
          <w:sz w:val="24"/>
          <w:szCs w:val="24"/>
        </w:rPr>
      </w:pPr>
      <w:r w:rsidRPr="00AB6632">
        <w:rPr>
          <w:rFonts w:ascii="Times New Roman" w:hAnsi="Times New Roman" w:cs="Times New Roman"/>
          <w:sz w:val="24"/>
          <w:szCs w:val="24"/>
        </w:rPr>
        <w:t>4. При подготовке к экзамену, помимо учебников, по которым ведется преподавание, рекомендуется ис</w:t>
      </w:r>
      <w:r w:rsidR="008A3DEE">
        <w:rPr>
          <w:rFonts w:ascii="Times New Roman" w:hAnsi="Times New Roman" w:cs="Times New Roman"/>
          <w:sz w:val="24"/>
          <w:szCs w:val="24"/>
        </w:rPr>
        <w:t xml:space="preserve">пользовать </w:t>
      </w:r>
      <w:proofErr w:type="gramStart"/>
      <w:r w:rsidR="008A3DEE">
        <w:rPr>
          <w:rFonts w:ascii="Times New Roman" w:hAnsi="Times New Roman" w:cs="Times New Roman"/>
          <w:sz w:val="24"/>
          <w:szCs w:val="24"/>
        </w:rPr>
        <w:t>всевозможные</w:t>
      </w:r>
      <w:proofErr w:type="gramEnd"/>
      <w:r w:rsidR="008A3DEE">
        <w:rPr>
          <w:rFonts w:ascii="Times New Roman" w:hAnsi="Times New Roman" w:cs="Times New Roman"/>
          <w:sz w:val="24"/>
          <w:szCs w:val="24"/>
        </w:rPr>
        <w:t xml:space="preserve">  интернет-ресурсы, в том числе:</w:t>
      </w:r>
      <w:r w:rsidRPr="00AB6632">
        <w:rPr>
          <w:rFonts w:ascii="Times New Roman" w:hAnsi="Times New Roman" w:cs="Times New Roman"/>
          <w:sz w:val="24"/>
          <w:szCs w:val="24"/>
        </w:rPr>
        <w:t xml:space="preserve"> </w:t>
      </w:r>
      <w:r w:rsidR="003C32C4">
        <w:rPr>
          <w:rFonts w:ascii="Times New Roman" w:hAnsi="Times New Roman" w:cs="Times New Roman"/>
          <w:sz w:val="24"/>
          <w:szCs w:val="24"/>
        </w:rPr>
        <w:t>о</w:t>
      </w:r>
      <w:r w:rsidRPr="00AB6632">
        <w:rPr>
          <w:rFonts w:ascii="Times New Roman" w:hAnsi="Times New Roman" w:cs="Times New Roman"/>
          <w:sz w:val="24"/>
          <w:szCs w:val="24"/>
        </w:rPr>
        <w:t xml:space="preserve">ткрытый банк заданий ОГЭ: http://www.fipi.ru/content/otkrytyy-bank-zadaniy-oge  </w:t>
      </w:r>
      <w:r w:rsidR="0022329D">
        <w:rPr>
          <w:rFonts w:ascii="Times New Roman" w:hAnsi="Times New Roman" w:cs="Times New Roman"/>
          <w:sz w:val="24"/>
          <w:szCs w:val="24"/>
        </w:rPr>
        <w:t xml:space="preserve">и </w:t>
      </w:r>
      <w:r w:rsidR="003C32C4">
        <w:rPr>
          <w:rFonts w:ascii="Times New Roman" w:hAnsi="Times New Roman" w:cs="Times New Roman"/>
          <w:sz w:val="24"/>
          <w:szCs w:val="24"/>
        </w:rPr>
        <w:t>с</w:t>
      </w:r>
      <w:r w:rsidR="008A3DEE">
        <w:rPr>
          <w:rFonts w:ascii="Times New Roman" w:hAnsi="Times New Roman" w:cs="Times New Roman"/>
          <w:sz w:val="24"/>
          <w:szCs w:val="24"/>
        </w:rPr>
        <w:t>айт</w:t>
      </w:r>
      <w:r w:rsidRPr="00AB6632">
        <w:rPr>
          <w:rFonts w:ascii="Times New Roman" w:hAnsi="Times New Roman" w:cs="Times New Roman"/>
          <w:sz w:val="24"/>
          <w:szCs w:val="24"/>
        </w:rPr>
        <w:t xml:space="preserve"> ФИПИ: http://www.fipi.ru</w:t>
      </w:r>
    </w:p>
    <w:p w:rsidR="003C32C4" w:rsidRPr="0022329D" w:rsidRDefault="003C32C4">
      <w:pPr>
        <w:rPr>
          <w:rFonts w:ascii="Times New Roman" w:hAnsi="Times New Roman" w:cs="Times New Roman"/>
          <w:sz w:val="24"/>
          <w:szCs w:val="24"/>
        </w:rPr>
      </w:pPr>
    </w:p>
    <w:p w:rsidR="003C32C4" w:rsidRPr="0022329D" w:rsidRDefault="003C32C4" w:rsidP="003C32C4">
      <w:pPr>
        <w:tabs>
          <w:tab w:val="left" w:pos="1965"/>
        </w:tabs>
        <w:rPr>
          <w:rFonts w:ascii="Times New Roman" w:hAnsi="Times New Roman" w:cs="Times New Roman"/>
          <w:sz w:val="24"/>
          <w:szCs w:val="24"/>
        </w:rPr>
      </w:pPr>
      <w:r w:rsidRPr="0022329D">
        <w:rPr>
          <w:rFonts w:ascii="Times New Roman" w:hAnsi="Times New Roman" w:cs="Times New Roman"/>
          <w:sz w:val="24"/>
          <w:szCs w:val="24"/>
        </w:rPr>
        <w:t xml:space="preserve">Рук. РМО                            </w:t>
      </w:r>
      <w:proofErr w:type="spellStart"/>
      <w:r w:rsidRPr="0022329D">
        <w:rPr>
          <w:rFonts w:ascii="Times New Roman" w:hAnsi="Times New Roman" w:cs="Times New Roman"/>
          <w:sz w:val="24"/>
          <w:szCs w:val="24"/>
        </w:rPr>
        <w:t>Н.В.Буринова</w:t>
      </w:r>
      <w:proofErr w:type="spellEnd"/>
    </w:p>
    <w:p w:rsidR="003C32C4" w:rsidRPr="0022329D" w:rsidRDefault="003C32C4">
      <w:pPr>
        <w:rPr>
          <w:rFonts w:ascii="Times New Roman" w:hAnsi="Times New Roman" w:cs="Times New Roman"/>
          <w:sz w:val="24"/>
          <w:szCs w:val="24"/>
        </w:rPr>
      </w:pPr>
    </w:p>
    <w:sectPr w:rsidR="003C32C4" w:rsidRPr="0022329D" w:rsidSect="00F35E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1139F"/>
    <w:multiLevelType w:val="hybridMultilevel"/>
    <w:tmpl w:val="F29E3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D0"/>
    <w:rsid w:val="00051F94"/>
    <w:rsid w:val="00125215"/>
    <w:rsid w:val="001267BC"/>
    <w:rsid w:val="00132FDB"/>
    <w:rsid w:val="001A28F1"/>
    <w:rsid w:val="001B1083"/>
    <w:rsid w:val="0020152A"/>
    <w:rsid w:val="00214B6E"/>
    <w:rsid w:val="0022329D"/>
    <w:rsid w:val="002904B2"/>
    <w:rsid w:val="00383BB4"/>
    <w:rsid w:val="003C32C4"/>
    <w:rsid w:val="005C5AFA"/>
    <w:rsid w:val="005D5098"/>
    <w:rsid w:val="00662E1B"/>
    <w:rsid w:val="006C71FB"/>
    <w:rsid w:val="008A3DEE"/>
    <w:rsid w:val="009C4BE6"/>
    <w:rsid w:val="00AB6632"/>
    <w:rsid w:val="00AE4F1E"/>
    <w:rsid w:val="00B67ED2"/>
    <w:rsid w:val="00BE4491"/>
    <w:rsid w:val="00CA2FD0"/>
    <w:rsid w:val="00D0523C"/>
    <w:rsid w:val="00DB35BE"/>
    <w:rsid w:val="00EB3542"/>
    <w:rsid w:val="00F10380"/>
    <w:rsid w:val="00F35E7E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052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3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B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28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052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3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B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28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UO</cp:lastModifiedBy>
  <cp:revision>2</cp:revision>
  <dcterms:created xsi:type="dcterms:W3CDTF">2019-08-01T12:59:00Z</dcterms:created>
  <dcterms:modified xsi:type="dcterms:W3CDTF">2019-08-01T12:59:00Z</dcterms:modified>
</cp:coreProperties>
</file>