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950" w:rsidRPr="00BA3C40" w:rsidRDefault="00051950" w:rsidP="0005195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A3C4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Об уголовной ответственности за передачу в пользование третьим лицам</w:t>
      </w:r>
    </w:p>
    <w:p w:rsidR="00051950" w:rsidRPr="00BA3C40" w:rsidRDefault="00051950" w:rsidP="00051950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A3C40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данным электронных средств платежа.</w:t>
      </w:r>
    </w:p>
    <w:p w:rsidR="00051950" w:rsidRPr="00051950" w:rsidRDefault="00051950" w:rsidP="00051950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1950" w:rsidRPr="00051950" w:rsidRDefault="00051950" w:rsidP="000519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Вступившим в силу с 01.07.2024 Федеральным законом от 24.06.2025 № 176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ФЗ статья 187 Уголовного кодекса Российской Федерации дополнена частями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третьей - шестой, предусматривающими ответственность за приобретение,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передачу и использование из корыстной заинтересованности электронных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средств платежа. Так, частью третьей статьи 187 Уголовного кодекса Российской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Федерации введена уголовная ответственность за передачу из корыстной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заинтересованности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клиентом оператора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переводу</w:t>
      </w:r>
    </w:p>
    <w:p w:rsidR="00051950" w:rsidRPr="00051950" w:rsidRDefault="00051950" w:rsidP="000519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денежных средств,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предоставленных ему оператором по переводу денежных средств электронного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средства платежа и (или) доступа к нему другому лицу для осуществления таким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лицом неправомерных операций.</w:t>
      </w:r>
    </w:p>
    <w:p w:rsidR="00051950" w:rsidRDefault="00051950" w:rsidP="000519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За совершение этого преступления предусмотрено наказание в 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лишения свободы сроком до трех лет.</w:t>
      </w:r>
    </w:p>
    <w:p w:rsidR="00051950" w:rsidRPr="00051950" w:rsidRDefault="00051950" w:rsidP="000519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Указанные изменения в уголовный закон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вызваны необходимостью пресечь функционирование «серого» рынка сбыта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электронных средств платежа и доступа к ним, позволяющий злоумышленникам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выводить похищенные у граждан денежные средства.</w:t>
      </w:r>
    </w:p>
    <w:p w:rsidR="00051950" w:rsidRPr="00051950" w:rsidRDefault="00051950" w:rsidP="000519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Принятию Федерального закона от 24.06.2025 № 176-ФЗ предшествовал</w:t>
      </w:r>
    </w:p>
    <w:p w:rsidR="00051950" w:rsidRPr="00051950" w:rsidRDefault="00051950" w:rsidP="000519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анализ судебно-следственной практики, выводы которого свидетельствуют о</w:t>
      </w:r>
    </w:p>
    <w:p w:rsidR="00051950" w:rsidRPr="00051950" w:rsidRDefault="00051950" w:rsidP="000519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ежегодно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высоком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количестве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совершаемых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дистанционных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хищений,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связанных с причинением ущерба гражданам, с одновременным увеличением</w:t>
      </w:r>
    </w:p>
    <w:p w:rsidR="00051950" w:rsidRPr="00051950" w:rsidRDefault="00051950" w:rsidP="0005195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подозрительных операций, совершенных без согласия клиента.</w:t>
      </w:r>
    </w:p>
    <w:p w:rsidR="00051950" w:rsidRPr="00051950" w:rsidRDefault="00051950" w:rsidP="000519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1950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совершение действий по передаче электронных средств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платежа из корыстных побуждений третьим лицам, которые используют эти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51950">
        <w:rPr>
          <w:rFonts w:ascii="Times New Roman" w:hAnsi="Times New Roman" w:cs="Times New Roman"/>
          <w:sz w:val="28"/>
          <w:szCs w:val="28"/>
          <w:lang w:eastAsia="ru-RU"/>
        </w:rPr>
        <w:t>данные для совершения неправомерных операций, наступает с 16 лет.</w:t>
      </w:r>
    </w:p>
    <w:p w:rsidR="00574113" w:rsidRPr="00051950" w:rsidRDefault="00BA3C40" w:rsidP="00BA3C40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5EA97645" wp14:editId="20A9EEC5">
            <wp:extent cx="5943599" cy="3343275"/>
            <wp:effectExtent l="0" t="0" r="635" b="0"/>
            <wp:docPr id="1" name="Рисунок 1" descr="C:\Users\User\Downloads\Прокуратура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рокуратура информируе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406" cy="33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4113" w:rsidRPr="0005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7D"/>
    <w:rsid w:val="00051950"/>
    <w:rsid w:val="00574113"/>
    <w:rsid w:val="0099347D"/>
    <w:rsid w:val="00BA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4EEE"/>
  <w15:chartTrackingRefBased/>
  <w15:docId w15:val="{B499A802-AE1B-48C7-9E55-2D8ECC9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9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A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246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2026-01-20T07:56:00Z</dcterms:created>
  <dcterms:modified xsi:type="dcterms:W3CDTF">2026-01-20T08:26:00Z</dcterms:modified>
</cp:coreProperties>
</file>