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CC" w:rsidRDefault="00580CCC" w:rsidP="00580CCC">
      <w:pPr>
        <w:overflowPunct/>
        <w:autoSpaceDE/>
        <w:adjustRightInd/>
        <w:spacing w:before="360"/>
        <w:jc w:val="center"/>
        <w:rPr>
          <w:sz w:val="28"/>
        </w:rPr>
      </w:pPr>
      <w:r>
        <w:rPr>
          <w:sz w:val="28"/>
        </w:rPr>
        <w:t>АККРЕДИТОВАННАЯ ОРГАНИЗАЦИЯ ПО КЛАССИФИКАЦИИ ГОСТИНИЦ</w:t>
      </w:r>
    </w:p>
    <w:p w:rsidR="00580CCC" w:rsidRPr="0069329A" w:rsidRDefault="00580CCC" w:rsidP="00580CCC">
      <w:pPr>
        <w:overflowPunct/>
        <w:autoSpaceDE/>
        <w:adjustRightInd/>
        <w:spacing w:before="360"/>
        <w:jc w:val="center"/>
        <w:rPr>
          <w:b/>
          <w:color w:val="0070C0"/>
          <w:sz w:val="24"/>
          <w:szCs w:val="24"/>
        </w:rPr>
      </w:pPr>
      <w:r>
        <w:rPr>
          <w:sz w:val="24"/>
          <w:szCs w:val="24"/>
        </w:rPr>
        <w:t xml:space="preserve">Аттестат аккредитации  </w:t>
      </w:r>
      <w:bookmarkStart w:id="0" w:name="_GoBack"/>
      <w:r w:rsidRPr="0069329A">
        <w:rPr>
          <w:b/>
          <w:color w:val="0070C0"/>
          <w:sz w:val="24"/>
          <w:szCs w:val="24"/>
        </w:rPr>
        <w:t>№ АА-036  от «20» декабря 2019 года</w:t>
      </w:r>
    </w:p>
    <w:bookmarkEnd w:id="0"/>
    <w:p w:rsidR="00580CCC" w:rsidRDefault="00580CCC" w:rsidP="00580CCC">
      <w:pPr>
        <w:overflowPunct/>
        <w:autoSpaceDE/>
        <w:adjustRightInd/>
        <w:spacing w:before="360"/>
        <w:jc w:val="center"/>
        <w:rPr>
          <w:sz w:val="28"/>
        </w:rPr>
      </w:pPr>
      <w:r>
        <w:rPr>
          <w:sz w:val="28"/>
        </w:rPr>
        <w:t>ООО «КАРЕЛСЕРТИФИКАЦИЯ»</w:t>
      </w:r>
    </w:p>
    <w:p w:rsidR="00580CCC" w:rsidRDefault="00580CCC" w:rsidP="00580CCC">
      <w:pPr>
        <w:overflowPunct/>
        <w:autoSpaceDE/>
        <w:adjustRightInd/>
        <w:jc w:val="center"/>
        <w:rPr>
          <w:sz w:val="24"/>
        </w:rPr>
      </w:pPr>
    </w:p>
    <w:p w:rsidR="00580CCC" w:rsidRDefault="00580CCC" w:rsidP="00580CCC">
      <w:pPr>
        <w:keepNext/>
        <w:overflowPunct/>
        <w:autoSpaceDE/>
        <w:adjustRightInd/>
        <w:spacing w:after="60"/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ДОГОВОР № </w:t>
      </w:r>
    </w:p>
    <w:p w:rsidR="00580CCC" w:rsidRDefault="00580CCC" w:rsidP="00580CCC">
      <w:pPr>
        <w:overflowPunct/>
        <w:autoSpaceDE/>
        <w:adjustRightInd/>
        <w:jc w:val="center"/>
        <w:rPr>
          <w:sz w:val="22"/>
        </w:rPr>
      </w:pPr>
      <w:r>
        <w:rPr>
          <w:sz w:val="24"/>
        </w:rPr>
        <w:t>на проведение работ по классификации средства размещения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  <w:szCs w:val="24"/>
        </w:rPr>
      </w:pPr>
    </w:p>
    <w:p w:rsidR="00580CCC" w:rsidRDefault="00580CCC" w:rsidP="00580CCC">
      <w:pPr>
        <w:overflowPunct/>
        <w:autoSpaceDE/>
        <w:adjustRightInd/>
        <w:jc w:val="both"/>
        <w:rPr>
          <w:sz w:val="22"/>
        </w:rPr>
      </w:pPr>
      <w:r>
        <w:rPr>
          <w:sz w:val="22"/>
        </w:rPr>
        <w:t>г. Петрозаводск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«___»___________20___г.            </w:t>
      </w:r>
    </w:p>
    <w:p w:rsidR="00580CCC" w:rsidRDefault="00580CCC" w:rsidP="00580CCC">
      <w:pPr>
        <w:overflowPunct/>
        <w:autoSpaceDE/>
        <w:adjustRightInd/>
        <w:jc w:val="both"/>
        <w:rPr>
          <w:sz w:val="22"/>
        </w:rPr>
      </w:pPr>
    </w:p>
    <w:p w:rsidR="00580CCC" w:rsidRDefault="00580CCC" w:rsidP="00580CCC">
      <w:pPr>
        <w:overflowPunct/>
        <w:autoSpaceDE/>
        <w:adjustRightInd/>
        <w:ind w:firstLine="851"/>
        <w:jc w:val="both"/>
        <w:rPr>
          <w:sz w:val="22"/>
        </w:rPr>
      </w:pPr>
      <w:r>
        <w:rPr>
          <w:sz w:val="22"/>
        </w:rPr>
        <w:t xml:space="preserve">ООО «Карелсертификация», именуемый в дальнейшем «Исполнитель», в лице </w:t>
      </w:r>
      <w:proofErr w:type="spellStart"/>
      <w:r>
        <w:rPr>
          <w:sz w:val="22"/>
        </w:rPr>
        <w:t>генернального</w:t>
      </w:r>
      <w:proofErr w:type="spellEnd"/>
      <w:r>
        <w:rPr>
          <w:sz w:val="22"/>
        </w:rPr>
        <w:t xml:space="preserve"> директора </w:t>
      </w:r>
      <w:proofErr w:type="spellStart"/>
      <w:r>
        <w:rPr>
          <w:sz w:val="22"/>
        </w:rPr>
        <w:t>Патрашкиной</w:t>
      </w:r>
      <w:proofErr w:type="spellEnd"/>
      <w:r>
        <w:rPr>
          <w:sz w:val="22"/>
        </w:rPr>
        <w:t xml:space="preserve"> Н.В., действующего на основании Устава с одной стороны, и </w:t>
      </w:r>
      <w:r>
        <w:rPr>
          <w:sz w:val="22"/>
        </w:rPr>
        <w:br/>
        <w:t xml:space="preserve"> ___________________________________________________, именуемый в дальнейшем «Заказчик»,  в лице  _______________________________________</w:t>
      </w:r>
      <w:proofErr w:type="gramStart"/>
      <w:r>
        <w:rPr>
          <w:sz w:val="22"/>
        </w:rPr>
        <w:t xml:space="preserve">    ,</w:t>
      </w:r>
      <w:proofErr w:type="gramEnd"/>
      <w:r>
        <w:rPr>
          <w:sz w:val="22"/>
        </w:rPr>
        <w:t xml:space="preserve"> с другой стороны, действующего на основании ______________________________________,  заключили настоящий Договор о нижеследующем:</w:t>
      </w:r>
    </w:p>
    <w:p w:rsidR="00580CCC" w:rsidRDefault="00580CCC" w:rsidP="00580CCC">
      <w:pPr>
        <w:keepNext/>
        <w:overflowPunct/>
        <w:autoSpaceDE/>
        <w:adjustRightInd/>
        <w:spacing w:before="240" w:after="60"/>
        <w:ind w:left="1170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8"/>
          <w:szCs w:val="32"/>
        </w:rPr>
        <w:t xml:space="preserve">                   </w:t>
      </w:r>
      <w:r>
        <w:rPr>
          <w:rFonts w:ascii="Arial" w:hAnsi="Arial" w:cs="Arial"/>
          <w:b/>
          <w:bCs/>
          <w:kern w:val="32"/>
          <w:sz w:val="24"/>
          <w:szCs w:val="24"/>
        </w:rPr>
        <w:t>I. ПРЕДМЕТ ДОГОВОРА</w:t>
      </w:r>
    </w:p>
    <w:p w:rsidR="00580CCC" w:rsidRDefault="00580CCC" w:rsidP="00580CCC">
      <w:pPr>
        <w:keepNext/>
        <w:overflowPunct/>
        <w:autoSpaceDE/>
        <w:adjustRightInd/>
        <w:spacing w:before="240" w:after="60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1.1.» Заказчик» поручает, а « Исполнитель» принимает на себя обязательство по проведению работ по классификации гостиниц</w:t>
      </w:r>
      <w:proofErr w:type="gramStart"/>
      <w:r>
        <w:rPr>
          <w:bCs/>
          <w:kern w:val="32"/>
          <w:sz w:val="24"/>
          <w:szCs w:val="24"/>
        </w:rPr>
        <w:t>ы(</w:t>
      </w:r>
      <w:proofErr w:type="gramEnd"/>
      <w:r>
        <w:rPr>
          <w:bCs/>
          <w:kern w:val="32"/>
          <w:sz w:val="24"/>
          <w:szCs w:val="24"/>
        </w:rPr>
        <w:t xml:space="preserve"> средство размещения)__________________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____________________________ на категорию __________________________________.</w:t>
      </w:r>
    </w:p>
    <w:p w:rsidR="00580CCC" w:rsidRDefault="00580CCC" w:rsidP="00580CCC">
      <w:pPr>
        <w:numPr>
          <w:ilvl w:val="1"/>
          <w:numId w:val="1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Классификации проводится в соответствии с требованиями Положения о классификации гостиниц, утвержденного Постановлением Правительства РФ от 16 февраля 2019 года  № 158.  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                                             </w:t>
      </w:r>
    </w:p>
    <w:p w:rsidR="00580CCC" w:rsidRDefault="00580CCC" w:rsidP="00580CCC">
      <w:pPr>
        <w:overflowPunct/>
        <w:autoSpaceDE/>
        <w:adjustRightInd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2.СТОИМОСТЬ РАБОТ И ПОРЯДОК РАСЧЕТОВ</w:t>
      </w:r>
    </w:p>
    <w:p w:rsidR="00580CCC" w:rsidRDefault="00580CCC" w:rsidP="00580CCC">
      <w:pPr>
        <w:overflowPunct/>
        <w:autoSpaceDE/>
        <w:adjustRightInd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580CCC" w:rsidRDefault="00580CCC" w:rsidP="00580CCC">
      <w:pPr>
        <w:pBdr>
          <w:bottom w:val="single" w:sz="12" w:space="1" w:color="auto"/>
        </w:pBdr>
        <w:overflowPunct/>
        <w:autoSpaceDE/>
        <w:adjustRightInd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2.1</w:t>
      </w:r>
      <w:r>
        <w:rPr>
          <w:b/>
          <w:sz w:val="24"/>
        </w:rPr>
        <w:t xml:space="preserve">. </w:t>
      </w:r>
      <w:r>
        <w:rPr>
          <w:sz w:val="24"/>
        </w:rPr>
        <w:t>Стоимость работ по настоящему договору</w:t>
      </w:r>
      <w:r>
        <w:rPr>
          <w:b/>
          <w:sz w:val="24"/>
        </w:rPr>
        <w:t xml:space="preserve">  </w:t>
      </w:r>
      <w:r>
        <w:rPr>
          <w:sz w:val="24"/>
        </w:rPr>
        <w:t>в соответствии с утвержденными тарифами по классификации составляет:</w:t>
      </w:r>
    </w:p>
    <w:p w:rsidR="00580CCC" w:rsidRDefault="00580CCC" w:rsidP="00580CCC">
      <w:pPr>
        <w:overflowPunct/>
        <w:autoSpaceDE/>
        <w:adjustRightInd/>
        <w:jc w:val="both"/>
        <w:rPr>
          <w:b/>
          <w:sz w:val="24"/>
        </w:rPr>
      </w:pPr>
      <w:r>
        <w:rPr>
          <w:sz w:val="24"/>
        </w:rPr>
        <w:t>НДС не облагается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ак как « ИСПОЛНИТЕЛЬ» применяет упрощенную систему налогообложения</w:t>
      </w:r>
      <w:r>
        <w:rPr>
          <w:b/>
          <w:sz w:val="24"/>
        </w:rPr>
        <w:t>.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2.2.« ЗАКАЗЧИК»» после подписания договора обязуется в течение десяти дней перечислить « ИСПОЛНИТЕЛЮ» сумму, указанную в п.2.1.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2.3. « ИСПОЛНИТЕЛЬ» выполняет работы по классификации после перечисления на его  расчетный счет денежных средств согласно п.2.2.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                             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</w:rPr>
      </w:pPr>
    </w:p>
    <w:p w:rsidR="00580CCC" w:rsidRDefault="00580CCC" w:rsidP="00580CCC">
      <w:pPr>
        <w:overflowPunct/>
        <w:autoSpaceDE/>
        <w:adjustRightInd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3.ПОРЯДОК СДАЧИ И ПРИЕМКИ УСЛУГ</w:t>
      </w:r>
    </w:p>
    <w:p w:rsidR="00580CCC" w:rsidRDefault="00580CCC" w:rsidP="00580CCC">
      <w:pPr>
        <w:overflowPunct/>
        <w:autoSpaceDE/>
        <w:adjustRightInd/>
        <w:jc w:val="both"/>
        <w:rPr>
          <w:b/>
          <w:sz w:val="24"/>
        </w:rPr>
      </w:pPr>
    </w:p>
    <w:p w:rsidR="00580CCC" w:rsidRDefault="00580CCC" w:rsidP="00580CCC">
      <w:pPr>
        <w:overflowPunct/>
        <w:autoSpaceDE/>
        <w:adjustRightInd/>
        <w:spacing w:before="60"/>
        <w:jc w:val="both"/>
        <w:rPr>
          <w:sz w:val="24"/>
        </w:rPr>
      </w:pPr>
      <w:r>
        <w:rPr>
          <w:sz w:val="24"/>
        </w:rPr>
        <w:t>3.1.По завершении всех предусмотренных процедурой классификации работ  «ИСПОЛНИТЕЛЬ» и « ЗАКАЗЧИК» подписывают  двухсторонний акт сдачи-приемки.</w:t>
      </w:r>
    </w:p>
    <w:p w:rsidR="00580CCC" w:rsidRDefault="00580CCC" w:rsidP="00580CCC">
      <w:pPr>
        <w:overflowPunct/>
        <w:autoSpaceDE/>
        <w:adjustRightInd/>
        <w:spacing w:before="60"/>
        <w:jc w:val="both"/>
        <w:rPr>
          <w:sz w:val="24"/>
        </w:rPr>
      </w:pPr>
      <w:r>
        <w:rPr>
          <w:sz w:val="24"/>
        </w:rPr>
        <w:t>3.2. При положительном результате проведенных работ по классификации « ИСПОЛНИТЕЛЬ» предоставляет « ЗАКАЗЧИКУ» Свидетельство о присвоении категории гостинице.</w:t>
      </w:r>
    </w:p>
    <w:p w:rsidR="00580CCC" w:rsidRDefault="00580CCC" w:rsidP="00580CCC">
      <w:pPr>
        <w:overflowPunct/>
        <w:autoSpaceDE/>
        <w:adjustRightInd/>
        <w:spacing w:before="60"/>
        <w:jc w:val="both"/>
        <w:rPr>
          <w:sz w:val="24"/>
        </w:rPr>
      </w:pPr>
      <w:r>
        <w:rPr>
          <w:sz w:val="24"/>
        </w:rPr>
        <w:lastRenderedPageBreak/>
        <w:t>3.3. В случае отрицательного результата проведения работ « ИСПОЛНИТЕЛЬ» предоставляет « ЗАКАЗЧИКУ» мотивированное решение об отказе в выдаче Свидетельства о присвоении категории.</w:t>
      </w:r>
    </w:p>
    <w:p w:rsidR="00580CCC" w:rsidRDefault="00580CCC" w:rsidP="00580CCC">
      <w:pPr>
        <w:keepNext/>
        <w:overflowPunct/>
        <w:autoSpaceDE/>
        <w:adjustRightInd/>
        <w:spacing w:before="240" w:after="60"/>
        <w:ind w:left="1170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8"/>
          <w:szCs w:val="32"/>
        </w:rPr>
        <w:t xml:space="preserve">             </w:t>
      </w:r>
      <w:r>
        <w:rPr>
          <w:rFonts w:ascii="Arial" w:hAnsi="Arial" w:cs="Arial"/>
          <w:b/>
          <w:bCs/>
          <w:kern w:val="32"/>
          <w:sz w:val="24"/>
          <w:szCs w:val="24"/>
        </w:rPr>
        <w:t>4. ОТВЕТСТВЕННОСТЬ СТОРОН</w:t>
      </w:r>
    </w:p>
    <w:p w:rsidR="00580CCC" w:rsidRDefault="00580CCC" w:rsidP="00580CCC">
      <w:pPr>
        <w:keepNext/>
        <w:overflowPunct/>
        <w:autoSpaceDE/>
        <w:adjustRightInd/>
        <w:spacing w:before="60"/>
        <w:outlineLvl w:val="1"/>
        <w:rPr>
          <w:sz w:val="24"/>
        </w:rPr>
      </w:pPr>
    </w:p>
    <w:p w:rsidR="00580CCC" w:rsidRDefault="00580CCC" w:rsidP="00580CCC">
      <w:pPr>
        <w:keepNext/>
        <w:overflowPunct/>
        <w:autoSpaceDE/>
        <w:adjustRightInd/>
        <w:spacing w:before="60"/>
        <w:outlineLvl w:val="1"/>
        <w:rPr>
          <w:sz w:val="24"/>
        </w:rPr>
      </w:pPr>
      <w:r>
        <w:rPr>
          <w:sz w:val="24"/>
        </w:rPr>
        <w:t>4.1. За невыполнение или ненадлежащее выполнение обязательств по настоящему договору « ИСПОЛНИТЬЕЛЬ» и « ЗАКАЧИК» несут ответственность в соответствии с действующим законодательством.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4.2. В случае расторжения договора в процессе проведения работ по классификации « ИСПОЛНИТЕЛЬ» возвращает « ЗАКАЗЧИКУ» оплату за невыполненные этапы работ в размере, пропорционально их суммарной трудоемкости.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</w:rPr>
      </w:pPr>
    </w:p>
    <w:p w:rsidR="00580CCC" w:rsidRDefault="00580CCC" w:rsidP="00580CCC">
      <w:pPr>
        <w:keepNext/>
        <w:overflowPunct/>
        <w:autoSpaceDE/>
        <w:adjustRightInd/>
        <w:spacing w:before="240" w:after="60"/>
        <w:ind w:left="1170"/>
        <w:outlineLvl w:val="0"/>
        <w:rPr>
          <w:rFonts w:ascii="Arial" w:hAnsi="Arial" w:cs="Arial"/>
          <w:b/>
          <w:bCs/>
          <w:kern w:val="32"/>
          <w:sz w:val="28"/>
          <w:szCs w:val="32"/>
        </w:rPr>
      </w:pPr>
      <w:r>
        <w:rPr>
          <w:rFonts w:ascii="Arial" w:hAnsi="Arial" w:cs="Arial"/>
          <w:b/>
          <w:bCs/>
          <w:kern w:val="32"/>
          <w:sz w:val="28"/>
          <w:szCs w:val="32"/>
        </w:rPr>
        <w:t xml:space="preserve">                   </w:t>
      </w:r>
      <w:r>
        <w:rPr>
          <w:rFonts w:ascii="Arial" w:hAnsi="Arial" w:cs="Arial"/>
          <w:b/>
          <w:bCs/>
          <w:kern w:val="32"/>
          <w:sz w:val="24"/>
          <w:szCs w:val="24"/>
        </w:rPr>
        <w:t>5. ПРОЧИЕ УСЛОВИЯ</w:t>
      </w:r>
    </w:p>
    <w:p w:rsidR="00580CCC" w:rsidRDefault="00580CCC" w:rsidP="00580CCC">
      <w:pPr>
        <w:overflowPunct/>
        <w:autoSpaceDE/>
        <w:adjustRightInd/>
        <w:jc w:val="both"/>
        <w:rPr>
          <w:sz w:val="22"/>
        </w:rPr>
      </w:pPr>
    </w:p>
    <w:p w:rsidR="00580CCC" w:rsidRDefault="00580CCC" w:rsidP="00580CCC">
      <w:pPr>
        <w:overflowPunct/>
        <w:autoSpaceDE/>
        <w:adjustRightInd/>
        <w:jc w:val="both"/>
        <w:rPr>
          <w:sz w:val="22"/>
        </w:rPr>
      </w:pPr>
    </w:p>
    <w:p w:rsidR="00580CCC" w:rsidRDefault="00580CCC" w:rsidP="00580CCC">
      <w:pPr>
        <w:overflowPunct/>
        <w:autoSpaceDE/>
        <w:adjustRightInd/>
        <w:jc w:val="both"/>
        <w:rPr>
          <w:sz w:val="22"/>
        </w:rPr>
      </w:pPr>
      <w:r>
        <w:rPr>
          <w:sz w:val="22"/>
        </w:rPr>
        <w:t>5.1. Стороны обязуются сохранять конфиденциальность информации, представляющей коммерческую тайну.</w:t>
      </w:r>
    </w:p>
    <w:p w:rsidR="00580CCC" w:rsidRDefault="00580CCC" w:rsidP="00580CCC">
      <w:pPr>
        <w:overflowPunct/>
        <w:autoSpaceDE/>
        <w:adjustRightInd/>
        <w:jc w:val="both"/>
        <w:rPr>
          <w:sz w:val="22"/>
        </w:rPr>
      </w:pPr>
    </w:p>
    <w:p w:rsidR="00580CCC" w:rsidRDefault="00580CCC" w:rsidP="00580CCC">
      <w:pPr>
        <w:overflowPunct/>
        <w:autoSpaceDE/>
        <w:adjustRightInd/>
        <w:jc w:val="both"/>
        <w:rPr>
          <w:b/>
          <w:sz w:val="22"/>
        </w:rPr>
      </w:pPr>
      <w:r>
        <w:rPr>
          <w:sz w:val="22"/>
        </w:rPr>
        <w:t xml:space="preserve">                                               </w:t>
      </w:r>
      <w:r>
        <w:rPr>
          <w:b/>
          <w:sz w:val="22"/>
        </w:rPr>
        <w:t>6. СРОК ДЕЙСТВИЯ ДОГОВОРА</w:t>
      </w:r>
    </w:p>
    <w:p w:rsidR="00580CCC" w:rsidRDefault="00580CCC" w:rsidP="00580CCC">
      <w:pPr>
        <w:overflowPunct/>
        <w:autoSpaceDE/>
        <w:adjustRightInd/>
        <w:jc w:val="both"/>
        <w:rPr>
          <w:b/>
          <w:sz w:val="22"/>
        </w:rPr>
      </w:pPr>
    </w:p>
    <w:p w:rsidR="00580CCC" w:rsidRDefault="00580CCC" w:rsidP="00580CCC">
      <w:pPr>
        <w:overflowPunct/>
        <w:autoSpaceDE/>
        <w:adjustRightInd/>
        <w:jc w:val="both"/>
        <w:rPr>
          <w:b/>
          <w:sz w:val="22"/>
        </w:rPr>
      </w:pPr>
      <w:r>
        <w:rPr>
          <w:b/>
          <w:sz w:val="22"/>
        </w:rPr>
        <w:t xml:space="preserve">6.1. Срок действия настоящего договора с «____»_____________20___г. </w:t>
      </w:r>
      <w:proofErr w:type="gramStart"/>
      <w:r>
        <w:rPr>
          <w:b/>
          <w:sz w:val="22"/>
        </w:rPr>
        <w:t>по</w:t>
      </w:r>
      <w:proofErr w:type="gramEnd"/>
      <w:r>
        <w:rPr>
          <w:b/>
          <w:sz w:val="22"/>
        </w:rPr>
        <w:t xml:space="preserve"> 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  <w:szCs w:val="24"/>
        </w:rPr>
      </w:pPr>
      <w:r>
        <w:rPr>
          <w:b/>
          <w:sz w:val="22"/>
        </w:rPr>
        <w:t>«____» ___________  20___ г.</w:t>
      </w:r>
    </w:p>
    <w:p w:rsidR="00580CCC" w:rsidRDefault="00580CCC" w:rsidP="00580CCC">
      <w:pPr>
        <w:keepNext/>
        <w:overflowPunct/>
        <w:autoSpaceDE/>
        <w:adjustRightInd/>
        <w:spacing w:before="240" w:after="60"/>
        <w:ind w:left="993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8"/>
          <w:szCs w:val="32"/>
        </w:rPr>
        <w:t xml:space="preserve">                  </w:t>
      </w:r>
      <w:r>
        <w:rPr>
          <w:rFonts w:ascii="Arial" w:hAnsi="Arial" w:cs="Arial"/>
          <w:b/>
          <w:bCs/>
          <w:kern w:val="32"/>
          <w:sz w:val="24"/>
          <w:szCs w:val="24"/>
        </w:rPr>
        <w:t>7. ЮРИДИЧЕСКИЕ АДРЕСА СТОРОН:</w:t>
      </w:r>
    </w:p>
    <w:p w:rsidR="00580CCC" w:rsidRDefault="00580CCC" w:rsidP="00580CCC">
      <w:pPr>
        <w:overflowPunct/>
        <w:autoSpaceDE/>
        <w:adjustRightInd/>
        <w:jc w:val="both"/>
        <w:rPr>
          <w:sz w:val="24"/>
        </w:rPr>
      </w:pPr>
    </w:p>
    <w:p w:rsidR="00580CCC" w:rsidRDefault="00580CCC" w:rsidP="00580CCC">
      <w:pPr>
        <w:overflowPunct/>
        <w:autoSpaceDE/>
        <w:adjustRightInd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8"/>
        <w:gridCol w:w="160"/>
        <w:gridCol w:w="4463"/>
      </w:tblGrid>
      <w:tr w:rsidR="00580CCC" w:rsidTr="0054679D">
        <w:trPr>
          <w:cantSplit/>
        </w:trPr>
        <w:tc>
          <w:tcPr>
            <w:tcW w:w="4588" w:type="dxa"/>
            <w:vAlign w:val="center"/>
            <w:hideMark/>
          </w:tcPr>
          <w:p w:rsidR="00580CCC" w:rsidRDefault="00580CCC" w:rsidP="0054679D">
            <w:pPr>
              <w:overflowPunct/>
              <w:autoSpaceDE/>
              <w:adjustRightInd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ИСПОЛНИТЕЛЬ:</w:t>
            </w:r>
          </w:p>
        </w:tc>
        <w:tc>
          <w:tcPr>
            <w:tcW w:w="160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center"/>
              <w:rPr>
                <w:sz w:val="22"/>
              </w:rPr>
            </w:pPr>
          </w:p>
        </w:tc>
        <w:tc>
          <w:tcPr>
            <w:tcW w:w="4463" w:type="dxa"/>
            <w:vAlign w:val="center"/>
            <w:hideMark/>
          </w:tcPr>
          <w:p w:rsidR="00580CCC" w:rsidRDefault="00580CCC" w:rsidP="0054679D">
            <w:pPr>
              <w:overflowPunct/>
              <w:autoSpaceDE/>
              <w:adjustRightInd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580CCC" w:rsidTr="0054679D">
        <w:trPr>
          <w:cantSplit/>
        </w:trPr>
        <w:tc>
          <w:tcPr>
            <w:tcW w:w="4588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center"/>
              <w:rPr>
                <w:b/>
                <w:sz w:val="22"/>
              </w:rPr>
            </w:pPr>
          </w:p>
        </w:tc>
        <w:tc>
          <w:tcPr>
            <w:tcW w:w="160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center"/>
              <w:rPr>
                <w:sz w:val="22"/>
              </w:rPr>
            </w:pPr>
          </w:p>
        </w:tc>
        <w:tc>
          <w:tcPr>
            <w:tcW w:w="4463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center"/>
              <w:rPr>
                <w:b/>
                <w:sz w:val="22"/>
              </w:rPr>
            </w:pPr>
          </w:p>
        </w:tc>
      </w:tr>
      <w:tr w:rsidR="00580CCC" w:rsidTr="0054679D">
        <w:trPr>
          <w:cantSplit/>
        </w:trPr>
        <w:tc>
          <w:tcPr>
            <w:tcW w:w="4588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  <w:tc>
          <w:tcPr>
            <w:tcW w:w="160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  <w:tc>
          <w:tcPr>
            <w:tcW w:w="4463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</w:tr>
      <w:tr w:rsidR="00580CCC" w:rsidTr="0054679D">
        <w:trPr>
          <w:cantSplit/>
        </w:trPr>
        <w:tc>
          <w:tcPr>
            <w:tcW w:w="4588" w:type="dxa"/>
            <w:vAlign w:val="center"/>
            <w:hideMark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ООО «Карелсертификация»</w:t>
            </w:r>
          </w:p>
        </w:tc>
        <w:tc>
          <w:tcPr>
            <w:tcW w:w="160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  <w:tc>
          <w:tcPr>
            <w:tcW w:w="4463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</w:tr>
      <w:tr w:rsidR="00580CCC" w:rsidTr="0054679D">
        <w:trPr>
          <w:cantSplit/>
        </w:trPr>
        <w:tc>
          <w:tcPr>
            <w:tcW w:w="4588" w:type="dxa"/>
            <w:vAlign w:val="center"/>
            <w:hideMark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185030, </w:t>
            </w:r>
            <w:proofErr w:type="spellStart"/>
            <w:r>
              <w:rPr>
                <w:sz w:val="22"/>
              </w:rPr>
              <w:t>г</w:t>
            </w:r>
            <w:proofErr w:type="gramStart"/>
            <w:r>
              <w:rPr>
                <w:sz w:val="22"/>
              </w:rPr>
              <w:t>.П</w:t>
            </w:r>
            <w:proofErr w:type="gramEnd"/>
            <w:r>
              <w:rPr>
                <w:sz w:val="22"/>
              </w:rPr>
              <w:t>етрозаводск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ул.Володарского</w:t>
            </w:r>
            <w:proofErr w:type="spellEnd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>д. 40, офис 209.</w:t>
            </w:r>
          </w:p>
        </w:tc>
        <w:tc>
          <w:tcPr>
            <w:tcW w:w="160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  <w:tc>
          <w:tcPr>
            <w:tcW w:w="4463" w:type="dxa"/>
            <w:vAlign w:val="center"/>
            <w:hideMark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ИНН </w:t>
            </w:r>
          </w:p>
        </w:tc>
      </w:tr>
      <w:tr w:rsidR="00580CCC" w:rsidTr="0054679D">
        <w:trPr>
          <w:cantSplit/>
        </w:trPr>
        <w:tc>
          <w:tcPr>
            <w:tcW w:w="4588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60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  <w:tc>
          <w:tcPr>
            <w:tcW w:w="4463" w:type="dxa"/>
            <w:vAlign w:val="center"/>
            <w:hideMark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 xml:space="preserve">/счет  </w:t>
            </w:r>
          </w:p>
        </w:tc>
      </w:tr>
      <w:tr w:rsidR="00580CCC" w:rsidTr="0054679D">
        <w:trPr>
          <w:cantSplit/>
        </w:trPr>
        <w:tc>
          <w:tcPr>
            <w:tcW w:w="4588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  <w:tc>
          <w:tcPr>
            <w:tcW w:w="160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  <w:tc>
          <w:tcPr>
            <w:tcW w:w="4463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</w:tr>
      <w:tr w:rsidR="00580CCC" w:rsidTr="0054679D">
        <w:trPr>
          <w:cantSplit/>
        </w:trPr>
        <w:tc>
          <w:tcPr>
            <w:tcW w:w="4588" w:type="dxa"/>
            <w:vAlign w:val="center"/>
            <w:hideMark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  <w:r>
              <w:rPr>
                <w:sz w:val="22"/>
              </w:rPr>
              <w:t>Генеральный директор ООО «Карелсертификация»</w:t>
            </w:r>
          </w:p>
        </w:tc>
        <w:tc>
          <w:tcPr>
            <w:tcW w:w="160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  <w:tc>
          <w:tcPr>
            <w:tcW w:w="4463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</w:tr>
      <w:tr w:rsidR="00580CCC" w:rsidTr="0054679D">
        <w:trPr>
          <w:cantSplit/>
        </w:trPr>
        <w:tc>
          <w:tcPr>
            <w:tcW w:w="4588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right"/>
              <w:rPr>
                <w:sz w:val="22"/>
              </w:rPr>
            </w:pPr>
          </w:p>
        </w:tc>
        <w:tc>
          <w:tcPr>
            <w:tcW w:w="160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  <w:tc>
          <w:tcPr>
            <w:tcW w:w="4463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</w:tr>
      <w:tr w:rsidR="00580CCC" w:rsidTr="0054679D">
        <w:trPr>
          <w:cantSplit/>
        </w:trPr>
        <w:tc>
          <w:tcPr>
            <w:tcW w:w="4588" w:type="dxa"/>
            <w:vAlign w:val="center"/>
            <w:hideMark/>
          </w:tcPr>
          <w:p w:rsidR="00580CCC" w:rsidRDefault="00580CCC" w:rsidP="0054679D">
            <w:pPr>
              <w:overflowPunct/>
              <w:autoSpaceDE/>
              <w:adjustRightInd/>
              <w:jc w:val="right"/>
              <w:rPr>
                <w:sz w:val="22"/>
              </w:rPr>
            </w:pPr>
            <w:r>
              <w:rPr>
                <w:sz w:val="22"/>
              </w:rPr>
              <w:t>Н.В. Патрашкина</w:t>
            </w:r>
          </w:p>
        </w:tc>
        <w:tc>
          <w:tcPr>
            <w:tcW w:w="160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  <w:tc>
          <w:tcPr>
            <w:tcW w:w="4463" w:type="dxa"/>
            <w:vAlign w:val="center"/>
            <w:hideMark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</w:t>
            </w:r>
          </w:p>
        </w:tc>
      </w:tr>
      <w:tr w:rsidR="00580CCC" w:rsidTr="0054679D">
        <w:trPr>
          <w:cantSplit/>
        </w:trPr>
        <w:tc>
          <w:tcPr>
            <w:tcW w:w="4588" w:type="dxa"/>
            <w:vAlign w:val="center"/>
            <w:hideMark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Ответственные исполнители  </w:t>
            </w:r>
            <w:proofErr w:type="spellStart"/>
            <w:r>
              <w:rPr>
                <w:sz w:val="22"/>
              </w:rPr>
              <w:t>Л.А.Сычева</w:t>
            </w:r>
            <w:proofErr w:type="spellEnd"/>
          </w:p>
        </w:tc>
        <w:tc>
          <w:tcPr>
            <w:tcW w:w="160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  <w:tc>
          <w:tcPr>
            <w:tcW w:w="4463" w:type="dxa"/>
            <w:vAlign w:val="center"/>
          </w:tcPr>
          <w:p w:rsidR="00580CCC" w:rsidRDefault="00580CCC" w:rsidP="0054679D">
            <w:pPr>
              <w:overflowPunct/>
              <w:autoSpaceDE/>
              <w:adjustRightInd/>
              <w:jc w:val="both"/>
              <w:rPr>
                <w:sz w:val="22"/>
              </w:rPr>
            </w:pPr>
          </w:p>
        </w:tc>
      </w:tr>
    </w:tbl>
    <w:p w:rsidR="00580CCC" w:rsidRDefault="00580CCC" w:rsidP="00580CCC">
      <w:pPr>
        <w:overflowPunct/>
        <w:autoSpaceDE/>
        <w:adjustRightInd/>
        <w:spacing w:before="120"/>
        <w:jc w:val="both"/>
        <w:rPr>
          <w:sz w:val="22"/>
        </w:rPr>
      </w:pPr>
      <w:r>
        <w:rPr>
          <w:sz w:val="22"/>
        </w:rPr>
        <w:t xml:space="preserve">                                                          </w:t>
      </w:r>
    </w:p>
    <w:p w:rsidR="00580CCC" w:rsidRDefault="00580CCC" w:rsidP="00580CCC">
      <w:pPr>
        <w:overflowPunct/>
        <w:autoSpaceDE/>
        <w:adjustRightInd/>
        <w:spacing w:before="120"/>
        <w:jc w:val="both"/>
        <w:rPr>
          <w:sz w:val="24"/>
          <w:szCs w:val="24"/>
        </w:rPr>
      </w:pPr>
    </w:p>
    <w:p w:rsidR="00580CCC" w:rsidRDefault="00580CCC" w:rsidP="00580CCC">
      <w:pPr>
        <w:overflowPunct/>
        <w:autoSpaceDE/>
        <w:adjustRightInd/>
        <w:spacing w:before="120"/>
        <w:jc w:val="both"/>
        <w:rPr>
          <w:sz w:val="24"/>
          <w:szCs w:val="24"/>
        </w:rPr>
      </w:pPr>
    </w:p>
    <w:p w:rsidR="00580CCC" w:rsidRDefault="00580CCC" w:rsidP="00580CCC">
      <w:pPr>
        <w:overflowPunct/>
        <w:autoSpaceDE/>
        <w:adjustRightInd/>
        <w:spacing w:before="120"/>
        <w:jc w:val="both"/>
        <w:rPr>
          <w:sz w:val="24"/>
          <w:szCs w:val="24"/>
        </w:rPr>
      </w:pPr>
    </w:p>
    <w:p w:rsidR="002E1932" w:rsidRDefault="002E1932"/>
    <w:sectPr w:rsidR="002E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2322"/>
    <w:multiLevelType w:val="multilevel"/>
    <w:tmpl w:val="E1C4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38"/>
    <w:rsid w:val="002E1932"/>
    <w:rsid w:val="00580CCC"/>
    <w:rsid w:val="0069329A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2020-05-08T06:13:00Z</dcterms:created>
  <dcterms:modified xsi:type="dcterms:W3CDTF">2020-05-08T06:14:00Z</dcterms:modified>
</cp:coreProperties>
</file>