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A1C" w:rsidRDefault="007B3A1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B3A1C" w:rsidRDefault="007B3A1C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7B3A1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B3A1C" w:rsidRDefault="007B3A1C">
            <w:pPr>
              <w:pStyle w:val="ConsPlusNormal"/>
            </w:pPr>
            <w:r>
              <w:t>7 мая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B3A1C" w:rsidRDefault="007B3A1C">
            <w:pPr>
              <w:pStyle w:val="ConsPlusNormal"/>
              <w:jc w:val="right"/>
            </w:pPr>
            <w:r>
              <w:t>N 204</w:t>
            </w:r>
          </w:p>
        </w:tc>
      </w:tr>
    </w:tbl>
    <w:p w:rsidR="007B3A1C" w:rsidRDefault="007B3A1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B3A1C" w:rsidRDefault="007B3A1C">
      <w:pPr>
        <w:pStyle w:val="ConsPlusNormal"/>
        <w:jc w:val="both"/>
      </w:pPr>
    </w:p>
    <w:p w:rsidR="007B3A1C" w:rsidRDefault="007B3A1C">
      <w:pPr>
        <w:pStyle w:val="ConsPlusTitle"/>
        <w:jc w:val="center"/>
      </w:pPr>
      <w:r>
        <w:t>УКАЗ</w:t>
      </w:r>
    </w:p>
    <w:p w:rsidR="007B3A1C" w:rsidRDefault="007B3A1C">
      <w:pPr>
        <w:pStyle w:val="ConsPlusTitle"/>
        <w:jc w:val="both"/>
      </w:pPr>
    </w:p>
    <w:p w:rsidR="007B3A1C" w:rsidRDefault="007B3A1C">
      <w:pPr>
        <w:pStyle w:val="ConsPlusTitle"/>
        <w:jc w:val="center"/>
      </w:pPr>
      <w:r>
        <w:t>ПРЕЗИДЕНТА РОССИЙСКОЙ ФЕДЕРАЦИИ</w:t>
      </w:r>
    </w:p>
    <w:p w:rsidR="007B3A1C" w:rsidRDefault="007B3A1C">
      <w:pPr>
        <w:pStyle w:val="ConsPlusTitle"/>
        <w:jc w:val="both"/>
      </w:pPr>
    </w:p>
    <w:p w:rsidR="007B3A1C" w:rsidRDefault="007B3A1C">
      <w:pPr>
        <w:pStyle w:val="ConsPlusTitle"/>
        <w:jc w:val="center"/>
      </w:pPr>
      <w:r>
        <w:t>О НАЦИОНАЛЬНЫХ ЦЕЛЯХ И СТРАТЕГИЧЕСКИХ ЗАДАЧАХ</w:t>
      </w:r>
    </w:p>
    <w:p w:rsidR="007B3A1C" w:rsidRDefault="007B3A1C">
      <w:pPr>
        <w:pStyle w:val="ConsPlusTitle"/>
        <w:jc w:val="center"/>
      </w:pPr>
      <w:r>
        <w:t>РАЗВИТИЯ РОССИЙСКОЙ ФЕДЕРАЦИИ НА ПЕРИОД ДО 2024 ГОДА</w:t>
      </w:r>
    </w:p>
    <w:p w:rsidR="007B3A1C" w:rsidRDefault="007B3A1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B3A1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B3A1C" w:rsidRDefault="007B3A1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B3A1C" w:rsidRDefault="007B3A1C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19.07.2018 N 444)</w:t>
            </w:r>
          </w:p>
        </w:tc>
      </w:tr>
    </w:tbl>
    <w:p w:rsidR="007B3A1C" w:rsidRDefault="007B3A1C">
      <w:pPr>
        <w:pStyle w:val="ConsPlusNormal"/>
        <w:jc w:val="both"/>
      </w:pPr>
    </w:p>
    <w:p w:rsidR="007B3A1C" w:rsidRDefault="007B3A1C">
      <w:pPr>
        <w:pStyle w:val="ConsPlusNormal"/>
        <w:ind w:firstLine="540"/>
        <w:jc w:val="both"/>
      </w:pPr>
      <w:r>
        <w:t>В целях осуществления прорывного научно-технологического и социально-экономического развития Российской Федерации, увеличения численности населения страны, повышения уровня жизни граждан, создания комфортных условий для их проживания, а также условий и возможностей для самореализации и раскрытия таланта каждого человека постановляю:</w:t>
      </w:r>
    </w:p>
    <w:p w:rsidR="007B3A1C" w:rsidRDefault="007B3A1C">
      <w:pPr>
        <w:pStyle w:val="ConsPlusNormal"/>
        <w:spacing w:before="220"/>
        <w:ind w:firstLine="540"/>
        <w:jc w:val="both"/>
      </w:pPr>
      <w:bookmarkStart w:id="0" w:name="P14"/>
      <w:bookmarkEnd w:id="0"/>
      <w:r>
        <w:t>1. Правительству Российской Федерации обеспечить достижение следующих национальных целей развития Российской Федерации на период до 2024 года: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а) обеспечение устойчивого естественного роста численности населения Российской Федерации;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б) повышение ожидаемой продолжительности жизни до 78 лет (к 2030 году - до 80 лет);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в) обеспечение устойчивого роста реальных доходов граждан, а также роста уровня пенсионного обеспечения выше уровня инфляции;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г) снижение в два раза уровня бедности в Российской Федерации;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д) улучшение жилищных условий не менее 5 млн. семей ежегодно;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е) ускорение технологического развития Российской Федерации, увеличение количества организаций, осуществляющих технологические инновации, до 50 процентов от их общего числа;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ж) обеспечение ускоренного внедрения цифровых технологий в экономике и социальной сфере;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з) вхождение Российской Федерации в число пяти крупнейших экономик мира, обеспечение темпов экономического роста выше мировых при сохранении макроэкономической стабильности, в том числе инфляции на уровне, не превышающем 4 процентов;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и) создание в базовых отраслях экономики, прежде всего в обрабатывающей промышленности и агропромышленном комплексе, высокопроизводительного экспортно ориентированного сектора, развивающегося на основе современных технологий и обеспеченного высококвалифицированными кадрами.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2. Правительству Российской Федерации: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 xml:space="preserve">а) утвердить до 1 октября 2018 г. </w:t>
      </w:r>
      <w:hyperlink r:id="rId7" w:history="1">
        <w:r>
          <w:rPr>
            <w:color w:val="0000FF"/>
          </w:rPr>
          <w:t>Основные направления</w:t>
        </w:r>
      </w:hyperlink>
      <w:r>
        <w:t xml:space="preserve"> деятельности Правительства Российской Федерации на период до 2024 года и </w:t>
      </w:r>
      <w:hyperlink r:id="rId8" w:history="1">
        <w:r>
          <w:rPr>
            <w:color w:val="0000FF"/>
          </w:rPr>
          <w:t>прогноз</w:t>
        </w:r>
      </w:hyperlink>
      <w:r>
        <w:t xml:space="preserve"> социально-экономического развития </w:t>
      </w:r>
      <w:r>
        <w:lastRenderedPageBreak/>
        <w:t xml:space="preserve">Российской Федерации на период до 2024 года, предусмотрев механизмы и ресурсное обеспечение достижения национальных целей, определенных </w:t>
      </w:r>
      <w:hyperlink w:anchor="P14" w:history="1">
        <w:r>
          <w:rPr>
            <w:color w:val="0000FF"/>
          </w:rPr>
          <w:t>пунктом 1</w:t>
        </w:r>
      </w:hyperlink>
      <w:r>
        <w:t xml:space="preserve"> настоящего Указа;</w:t>
      </w:r>
    </w:p>
    <w:p w:rsidR="007B3A1C" w:rsidRDefault="007B3A1C">
      <w:pPr>
        <w:pStyle w:val="ConsPlusNormal"/>
        <w:spacing w:before="220"/>
        <w:ind w:firstLine="540"/>
        <w:jc w:val="both"/>
      </w:pPr>
      <w:bookmarkStart w:id="1" w:name="P26"/>
      <w:bookmarkEnd w:id="1"/>
      <w:r>
        <w:t xml:space="preserve">б) в соответствии с национальными целями, определенными </w:t>
      </w:r>
      <w:hyperlink w:anchor="P14" w:history="1">
        <w:r>
          <w:rPr>
            <w:color w:val="0000FF"/>
          </w:rPr>
          <w:t>пунктом 1</w:t>
        </w:r>
      </w:hyperlink>
      <w:r>
        <w:t xml:space="preserve"> настоящего Указа, разработать (скорректировать) совместно с органами государственной власти субъектов Российской Федерации и представить до 1 октября 2018 г. для рассмотрения на заседании Совета при Президенте Российской Федерации по стратегическому развитию и национальным проектам национальные </w:t>
      </w:r>
      <w:hyperlink r:id="rId9" w:history="1">
        <w:r>
          <w:rPr>
            <w:color w:val="0000FF"/>
          </w:rPr>
          <w:t>проекты</w:t>
        </w:r>
      </w:hyperlink>
      <w:r>
        <w:t xml:space="preserve"> (программы) по следующим направлениям:</w:t>
      </w:r>
    </w:p>
    <w:p w:rsidR="007B3A1C" w:rsidRDefault="007B3A1C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Указа</w:t>
        </w:r>
      </w:hyperlink>
      <w:r>
        <w:t xml:space="preserve"> Президента РФ от 19.07.2018 N 444)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демография;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здравоохранение;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образование;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жилье и городская среда;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экология;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безопасные и качественные автомобильные дороги;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производительность труда и поддержка занятости;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наука;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цифровая экономика;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культура;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малое и среднее предпринимательство и поддержка индивидуальной предпринимательской инициативы;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международная кооперация и экспорт.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3. Правительству Российской Федерации при разработке национальной программы в сфере демографического развития исходить из того, что в 2024 году необходимо обеспечить: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увеличение ожидаемой продолжительности здоровой жизни до 67 лет;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увеличение суммарного коэффициента рождаемости до 1,7;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увеличение доли граждан, ведущих здоровый образ жизни, а также увеличение до 55 процентов доли граждан, систематически занимающихся физической культурой и спортом;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внедрение механизма финансовой поддержки семей при рождении детей;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создание условий для осуществления трудовой деятельности женщин, имеющих детей, включая достижение 100-процентной доступности (к 2021 году) дошкольного образования для детей в возрасте до трех лет;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разработка и реализация программы системной поддержки и повышения качества жизни граждан старшего поколения;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lastRenderedPageBreak/>
        <w:t>формирование системы мотивации граждан к здоровому образу жизни, включая здоровое питание и отказ от вредных привычек;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создание для всех категорий и групп населения условий для занятий физической культурой и спортом, массовым спортом, в том числе повышение уровня обеспеченности населения объектами спорта, а также подготовка спортивного резерва.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4. Правительству Российской Федерации при разработке национального проекта в сфере здравоохранения исходить из того, что в 2024 году необходимо обеспечить: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снижение показателей смертности населения трудоспособного возраста (до 350 случаев на 100 тыс. населения), смертности от болезней системы кровообращения (до 450 случаев на 100 тыс. населения), смертности от новообразований, в том числе от злокачественных (до 185 случаев на 100 тыс. населения), младенческой смертности (до 4,5 случая на 1 тыс. родившихся детей);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ликвидация кадрового дефицита в медицинских организациях, оказывающих первичную медико-санитарную помощь;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обеспечение охвата всех граждан профилактическими медицинскими осмотрами не реже одного раза в год;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обеспечение оптимальной доступности для населения (в том числе для жителей населенных пунктов, расположенных в отдаленных местностях) медицинских организаций, оказывающих первичную медико-санитарную помощь;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оптимизация работы медицинских организаций, оказывающих первичную медико-санитарную помощь, сокращение времени ожидания в очереди при обращении граждан в указанные медицинские организации, упрощение процедуры записи на прием к врачу;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увеличение объема экспорта медицинских услуг не менее чем в четыре раза по сравнению с 2017 годом (до 1 млрд. долларов США в год);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завершение формирования сети медицинских организаций первичного звена здравоохранения с использованием в сфере здравоохранения геоинформационной системы с учетом необходимости строительства врачебных амбулаторий, фельдшерских и фельдшерско-акушерских пунктов в населенных пунктах с численностью населения от 100 человек до 2 тыс. человек, а также с учетом использования мобильных медицинских комплексов в населенных пунктах с численностью населения менее 100 человек;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завершение формирования сети национальных медицинских исследовательских центров;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создание механизмов взаимодействия медицинских организаций на основе единой государственной информационной системы в сфере здравоохранения;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внедрение инновационных медицинских технологий, включая систему ранней диагностики и дистанционный мониторинг состояния здоровья пациентов;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обеспечение медицинских организаций системы здравоохранения квалифицированными кадрами, включая внедрение системы непрерывного образования медицинских работников, в том числе с использованием дистанционных образовательных технологий;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 xml:space="preserve">внедрение </w:t>
      </w:r>
      <w:hyperlink r:id="rId11" w:history="1">
        <w:r>
          <w:rPr>
            <w:color w:val="0000FF"/>
          </w:rPr>
          <w:t>клинических рекомендаций</w:t>
        </w:r>
      </w:hyperlink>
      <w:r>
        <w:t xml:space="preserve"> и протоколов лечения и их использование в целях формирования тарифов на оплату медицинской помощи;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lastRenderedPageBreak/>
        <w:t>разработка и реализация программ борьбы с онкологическими заболеваниями, сердечно-сосудистыми заболеваниями, развития детского здравоохранения, включая создание современной инфраструктуры оказания медицинской помощи детям;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формирование системы защиты прав пациентов;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совершенствование механизма экспорта медицинских услуг.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5. Правительству Российской Федерации при разработке национального проекта в сфере образования исходить из того, что в 2024 году необходимо обеспечить: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обеспечение глобальной конкурентоспособности российского образования, вхождение Российской Федерации в число 10 ведущих стран мира по качеству общего образования;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внедрение на уровнях основного общего и среднего общего образования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"Технология";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создание условий для раннего развития детей в возрасте до трех лет, реализация программы психолого-педагогической, методической и консультативной помощи родителям детей, получающих дошкольное образование в семье;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создание современной и безопасной цифровой образовательной среды, обеспечивающей высокое качество и доступность образования всех видов и уровней;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 xml:space="preserve">внедрение национальной </w:t>
      </w:r>
      <w:hyperlink r:id="rId12" w:history="1">
        <w:r>
          <w:rPr>
            <w:color w:val="0000FF"/>
          </w:rPr>
          <w:t>системы</w:t>
        </w:r>
      </w:hyperlink>
      <w:r>
        <w:t xml:space="preserve"> профессионального роста педагогических работников, охватывающей не менее 50 процентов учителей общеобразовательных организаций;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модернизация профессионального образования, в том числе посредством внедрения адаптивных, практико-ориентированных и гибких образовательных программ;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формирование системы непрерывного обновления работающими гражданами своих профессиональных знаний и приобретения ими новых профессиональных навыков, включая овладение компетенциями в области цифровой экономики всеми желающими;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формирование системы профессиональных конкурсов в целях предоставления гражданам возможностей для профессионального и карьерного роста;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создание условий для развития наставничества, поддержки общественных инициатив и проектов, в том числе в сфере добровольчества (волонтерства);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 xml:space="preserve">увеличение не менее чем в два раза количества иностранных граждан, обучающихся в образовательных организациях высшего образования и научных организациях, а также </w:t>
      </w:r>
      <w:r>
        <w:lastRenderedPageBreak/>
        <w:t>реализация комплекса мер по трудоустройству лучших из них в Российской Федерации.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6. Правительству Российской Федерации при разработке национального проекта в сфере жилья и городской среды исходить из того, что в 2024 году необходимо обеспечить: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обеспечение доступным жильем семей со средним достатком, в том числе создание возможностей для приобретения (строительства) ими жилья с использованием ипотечного кредита, ставка по которому должна быть менее 8 процентов;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увеличение объема жилищного строительства не менее чем до 120 млн. квадратных метров в год;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кардинальное повышение комфортности городской среды, повышение индекса качества городской среды на 30 процентов, сокращение в соответствии с этим индексом количества городов с неблагоприятной средой в два раза;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создание механизма прямого участия граждан в формировании комфортной городской среды, увеличение доли граждан, принимающих участие в решении вопросов развития городской среды, до 30 процентов;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обеспечение устойчивого сокращения непригодного для проживания жилищного фонда;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совершенствование механизмов финансирования жилищного строительства, в том числе посредством развития рынка ипотечных ценных бумаг и поэтапного перехода от привлечения денежных средств для долевого строительства многоквартирных домов и иных объектов недвижимости к другим формам финансирования жилищного строительства, обеспечивающим защиту прав граждан и снижение рисков для них;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модернизация строительной отрасли и повышение качества индустриального жилищного строительства, в том числе посредством установления ограничений на использование устаревших технологий и стимулирования внедрения передовых технологий в проектировании и строительстве, совершенствование механизмов государственной поддержки строительства стандартного жилья;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снижение административной нагрузки на застройщиков, совершенствование нормативно-правовой базы и порядка регулирования деятельности в сфере жилищного строительства;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обеспечение эффективного использования земель в целях массового жилищного строительства при условии сохранения и развития зеленого фонда и территорий, на которых располагаются природные объекты, имеющие экологическое, историко-культурное, рекреационное, оздоровительное и иное ценное значение;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создание механизмов переселения граждан из непригодного для проживания жилищного фонда, обеспечивающих соблюдение их жилищных прав, установленных законодательством Российской Федерации.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7. Правительству Российской Федерации при разработке национального проекта в сфере экологии исходить из того, что в 2024 году необходимо обеспечить: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lastRenderedPageBreak/>
        <w:t>эффективное обращение с отходами производства и потребления, включая ликвидацию всех выявленных на 1 января 2018 г. несанкционированных свалок в границах городов;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кардинальное снижение уровня загрязнения атмосферного воздуха в крупных промышленных центрах, в том числе уменьшение не менее чем на 20 процентов совокупного объема выбросов загрязняющих веществ в атмосферный воздух в наиболее загрязненных городах;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повышение качества питьевой воды для населения, в том числе для жителей населенных пунктов, не оборудованных современными системами централизованного водоснабжения;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экологическое оздоровление водных объектов, включая реку Волгу, и сохранение уникальных водных систем, включая озера Байкал и Телецкое;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сохранение биологического разнообразия, в том числе посредством создания не менее 24 новых особо охраняемых природных территорий;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7B3A1C" w:rsidRDefault="007B3A1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B3A1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B3A1C" w:rsidRDefault="007B3A1C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7B3A1C" w:rsidRDefault="007B3A1C">
            <w:pPr>
              <w:pStyle w:val="ConsPlusNormal"/>
              <w:jc w:val="both"/>
            </w:pPr>
            <w:hyperlink r:id="rId13" w:history="1">
              <w:r>
                <w:rPr>
                  <w:color w:val="0000FF"/>
                </w:rPr>
                <w:t>Указом</w:t>
              </w:r>
            </w:hyperlink>
            <w:r>
              <w:rPr>
                <w:color w:val="392C69"/>
              </w:rPr>
              <w:t xml:space="preserve"> Президента РФ от 14.01.2019 N 8 создана публично-правовая компания по формированию комплексной системы обращения с ТКО "Российский экологический оператор".</w:t>
            </w:r>
          </w:p>
        </w:tc>
      </w:tr>
    </w:tbl>
    <w:p w:rsidR="007B3A1C" w:rsidRDefault="007B3A1C">
      <w:pPr>
        <w:pStyle w:val="ConsPlusNormal"/>
        <w:spacing w:before="280"/>
        <w:ind w:firstLine="540"/>
        <w:jc w:val="both"/>
      </w:pPr>
      <w:r>
        <w:t>формирование комплексной системы обращения с твердыми коммунальными отходами, включая ликвидацию свалок и рекультивацию территорий, на которых они размещены, создание условий для вторичной переработки всех запрещенных к захоронению отходов производства и потребления;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создание и эффективное функционирование во всех субъектах Российской Федерации системы общественного контроля, направленной на выявление и ликвидацию несанкционированных свалок;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создание современной инфраструктуры, обеспечивающей безопасное обращение с отходами I и II классов опасности, и ликвидация наиболее опасных объектов накопленного экологического вреда;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реализация комплексных планов мероприятий по снижению выбросов загрязняющих веществ в атмосферный воздух в крупных промышленных центрах, включая города Братск, Красноярск, Липецк, Магнитогорск, Медногорск, Нижний Тагил, Новокузнецк, Норильск, Омск, Челябинск, Череповец и Читу, с учетом сводных расчетов допустимого в этих городах негативного воздействия на окружающую среду;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применение всеми объектами, оказывающими значительное негативное воздействие на окружающую среду, системы экологического регулирования, основанной на использовании наилучших доступных технологий;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повышение качества питьевой воды посредством модернизации систем водоснабжения с использованием перспективных технологий водоподготовки, включая технологии, разработанные организациями оборонно-промышленного комплекса;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экологическая реабилитация водных объектов, в том числе реализация проекта, направленного на сокращение в три раза доли загрязненных сточных вод, отводимых в реку Волгу, устойчивое функционирование водохозяйственного комплекса Нижней Волги и сохранение экосистемы Волго-Ахтубинской поймы;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lastRenderedPageBreak/>
        <w:t>сохранение уникальных водных объектов, в том числе реализация проекта по сохранению озера Байкал, а также мероприятий по очистке от мусора берегов и прибрежной акватории озер Байкал, Телецкое, Ладожское, Онежское и рек Волги, Дона, Оби, Енисея, Амура, Урала, Печоры;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сохранение биологического разнообразия, включая увеличение площади особо охраняемых природных территорий на 5 млн. гектаров, реинтродукцию редких видов животных, создание инфраструктуры для экологического туризма в национальных парках, а также сохранение лесов, в том числе на основе их воспроизводства на всех участках вырубленных и погибших лесных насаждений.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8. Правительству Российской Федерации при разработке национального проекта по созданию безопасных и качественных автомобильных дорог исходить из того, что в 2024 году необходимо обеспечить: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увеличение доли автомобильных дорог регионального значения, соответствующих нормативным требованиям, в их общей протяженности не менее чем до 50 процентов (относительно их протяженности по состоянию на 31 декабря 2017 г.), а также утверждение органами государственной власти субъектов Российской Федерации таких нормативов исходя из установленных на федеральном уровне требований безопасности автомобильных дорог;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снижение доли автомобильных дорог федерального и регионального значения, работающих в режиме перегрузки, в их общей протяженности на 10 процентов по сравнению с 2017 годом;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снижение количества мест концентрации дорожно-транспортных происшествий (аварийно-опасных участков) на дорожной сети в два раза по сравнению с 2017 годом;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снижение смертности в результате дорожно-транспортных происшествий в 3,5 раза по сравнению с 2017 годом - до уровня, не превышающего четырех человек на 100 тыс. населения (к 2030 году - стремление к нулевому уровню смертности);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доведение в крупнейших городских агломерациях доли автомобильных дорог, соответствующих нормативным требованиям, в их общей протяженности до 85 процентов;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применение новых механизмов развития и эксплуатации дорожной сети, включая использование инфраструктурной ипотеки, контрактов жизненного цикла, наилучших технологий и материалов;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доведение норматива зачисления налоговых доходов бюджетов субъектов Российской Федерации от акцизов на горюче-смазочные материалы до 100 процентов;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внедрение общедоступной информационной системы контроля за формированием и использованием средств дорожных фондов всех уровней (в 2019 году);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создание механизмов экономического стимулирования сохранности автомобильных дорог регионального и местного значения;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внедрение новых технических требований и стандартов обустройства автомобильных дорог, в том числе на основе цифровых технологий, направленных на устранение мест концентрации дорожно-транспортных происшествий;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внедрение автоматизированных и роботизированных технологий организации дорожного движения и контроля за соблюдением правил дорожного движения;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lastRenderedPageBreak/>
        <w:t>усиление ответственности водителей за нарушение правил дорожного движения, а также повышение требований к уровню их профессиональной подготовки.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 xml:space="preserve">9. Правительству Российской Федерации при реализации совместно с органами государственной власти субъектов Российской Федерации национальной </w:t>
      </w:r>
      <w:hyperlink r:id="rId14" w:history="1">
        <w:r>
          <w:rPr>
            <w:color w:val="0000FF"/>
          </w:rPr>
          <w:t>программы</w:t>
        </w:r>
      </w:hyperlink>
      <w:r>
        <w:t xml:space="preserve"> в сфере повышения производительности труда и поддержки занятости обеспечить в 2024 году: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рост производительности труда на средних и крупных предприятиях базовых несырьевых отраслей экономики не ниже 5 процентов в год;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привлечение к участию в реализации указанной национальной программы не менее 10 субъектов Российской Федерации ежегодно;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вовлечение в реализацию указанной национальной программы не менее 10 тыс. средних и крупных предприятий базовых несырьевых отраслей экономики;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стимулирование внедрения передовых управленческих, организационных и технологических решений для повышения производительности труда и модернизации основных фондов, в том числе посредством предоставления налоговых преференций;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сокращение нормативно-правовых и административных ограничений, препятствующих росту производительности труда, а также замещение устаревших и непроизводительных рабочих мест;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формирование системы методической и организационной поддержки повышения производительности труда на предприятиях;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формирование системы подготовки кадров, направленной на обучение основам повышения производительности труда, в том числе посредством использования цифровых технологий и платформенных решений.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10. Правительству Российской Федерации при разработке национального проекта в сфере науки исходить из того, что в 2024 году необходимо обеспечить: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обеспечение присутствия Российской Федерации в числе пяти ведущих стран мира, осуществляющих научные исследования и разработки в областях, определяемых приоритетами научно-технологического развития;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обеспечение привлекательности работы в Российской Федерации для российских и зарубежных ведущих ученых и молодых перспективных исследователей;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опережающее увеличение внутренних затрат на научные исследования и разработки за счет всех источников по сравнению с ростом валового внутреннего продукта страны;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создание передовой инфраструктуры научных исследований и разработок, инновационной деятельности, включая создание и развитие сети уникальных научных установок класса "мегасайенс";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 xml:space="preserve">обновление не менее 50 процентов приборной базы ведущих организаций, выполняющих </w:t>
      </w:r>
      <w:r>
        <w:lastRenderedPageBreak/>
        <w:t>научные исследования и разработки;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создание научных центров мирового уровня, включая сеть международных математических центров и центров геномных исследований;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создание не менее 15 научно-образовательных центров мирового уровня на основе интеграции университетов и научных организаций и их кооперации с организациями, действующими в реальном секторе экономики;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формирование целостной системы подготовки и профессионального роста научных и научно-педагогических кадров, обеспечивающей условия для осуществления молодыми учеными научных исследований и разработок, создания научных лабораторий и конкурентоспособных коллективов.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 xml:space="preserve">11. Правительству Российской Федерации при реализации совместно с органами государственной власти субъектов Российской Федерации национальной </w:t>
      </w:r>
      <w:hyperlink r:id="rId15" w:history="1">
        <w:r>
          <w:rPr>
            <w:color w:val="0000FF"/>
          </w:rPr>
          <w:t>программы</w:t>
        </w:r>
      </w:hyperlink>
      <w:r>
        <w:t xml:space="preserve"> "Цифровая экономика Российской Федерации" обеспечить в 2024 году: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увеличение внутренних затрат на развитие цифровой экономики за счет всех источников (по доле в валовом внутреннем продукте страны) не менее чем в три раза по сравнению с 2017 годом;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создание устойчивой и безопасной информационно-телекоммуникационной инфраструктуры высокоскоростной передачи, обработки и хранения больших объемов данных, доступной для всех организаций и домохозяйств;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использование преимущественно отечественного программного обеспечения государственными органами, органами местного самоуправления и организациями;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создание системы правового регулирования цифровой экономики, основанного на гибком подходе в каждой сфере, а также внедрение гражданского оборота на базе цифровых технологий;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создание глобальной конкурентоспособной инфраструктуры передачи, обработки и хранения данных преимущественно на основе отечественных разработок;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обеспечение подготовки высококвалифицированных кадров для цифровой экономики;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обеспечение информационной безопасности на основе отечественных разработок при передаче, обработке и хранении данных, гарантирующей защиту интересов личности, бизнеса и государства;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создание сквозных цифровых технологий преимущественно на основе отечественных разработок;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внедрение цифровых технологий и платформенных решений в сферах государственного управления и оказания государственных услуг, в том числе в интересах населения и субъектов малого и среднего предпринимательства, включая индивидуальных предпринимателей;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преобразование приоритетных отраслей экономики и социальной сферы, включая здравоохранение, образование, промышленность, сельское хозяйство, строительство, городское хозяйство, транспортную и энергетическую инфраструктуру, финансовые услуги, посредством внедрения цифровых технологий и платформенных решений;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lastRenderedPageBreak/>
        <w:t>создание комплексной системы финансирования проектов по разработке и (или) внедрению цифровых технологий и платформенных решений, включающей в себя венчурное финансирование и иные институты развития;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разработка и внедрение национального механизма осуществления согласованной политики государств - членов Евразийского экономического союза при реализации планов в области развития цифровой экономики.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12. Правительству Российской Федерации при разработке национальной программы в сфере культуры обратить особое внимание на необходимость: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а) укрепления российской гражданской идентичности на основе духовно-нравственных и культурных ценностей народов Российской Федерации;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б) создания (реконструкции) культурно-образовательных и музейных комплексов, включающих в себя концертные залы, театральные, музыкальные, хореографические и другие творческие школы, а также выставочные пространства;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в) обеспечения детских музыкальных, художественных, хореографических школ, училищ и школ искусств необходимыми инструментами, оборудованием и материалами;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г) продвижения талантливой молодежи в сфере музыкального искусства, в том числе посредством создания национального молодежного симфонического оркестра;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д) создания (реконструкции) культурно-досуговых организаций клубного типа на территориях сельских поселений, развития муниципальных библиотек;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е) создания виртуальных концертных залов не менее чем в 500 городах Российской Федерации;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ж) создания условий для показа национальных кинофильмов в кинозалах, расположенных в населенных пунктах с численностью населения до 500 тыс. человек;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з) подготовки кадров для организаций культуры;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и) модернизации региональных и муниципальных театров юного зрителя и кукольных театров путем их реконструкции и капитального ремонта;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к) поддержки добровольческих движений, в том числе в сфере сохранения культурного наследия народов Российской Федерации.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13. Правительству Российской Федерации при реализации совместно с органами государственной власти субъектов Российской Федерации национального проекта в сфере развития малого и среднего предпринимательства и поддержки индивидуальной предпринимательской инициативы обеспечить в 2024 году: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а) достижение следующего целевого показателя: увеличение численности занятых в сфере малого и среднего предпринимательства, включая индивидуальных предпринимателей, до 25 млн. человек;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улучшение условий ведения предпринимательской деятельности, включая упрощение налоговой отчетности для предпринимателей, применяющих контрольно-кассовую технику;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 xml:space="preserve">создание цифровой платформы, ориентированной на поддержку производственной и сбытовой деятельности субъектов малого и среднего предпринимательства, включая </w:t>
      </w:r>
      <w:r>
        <w:lastRenderedPageBreak/>
        <w:t>индивидуальных предпринимателей;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совершенствование системы закупок, осуществляемых крупнейшими заказчиками у субъектов малого и среднего предпринимательства, включая индивидуальных предпринимателей;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упрощение доступа к льготному финансированию, в том числе ежегодное увеличение объема льготных кредитов, выдаваемых субъектам малого и среднего предпринимательства, включая индивидуальных предпринимателей;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создание системы акселерации субъектов малого и среднего предпринимательства, включая индивидуальных предпринимателей, в том числе инфраструктуры и сервисов поддержки, а также их ускоренное развитие в таких областях, как благоустройство городской среды, научно-технологическая сфера, социальная сфера и экология;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модернизация системы поддержки экспортеров, являющихся субъектами малого и среднего предпринимательства, включая индивидуальных предпринимателей, увеличение доли таких экспортеров в общем объеме несырьевого экспорта не менее чем до 10 процентов;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создание системы поддержки фермеров и развитие сельской кооперации;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обеспечение благоприятных условий осуществления деятельности самозанятыми гражданами посредством создания нового режима налогообложения, предусматривающего передачу информации о продажах в налоговые органы Российской Федерации в автоматическом режиме, освобождение от обязанности представлять отчетность, а также уплату единого платежа с выручки, включающего в себя страховые взносы.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14. Правительству Российской Федерации при разработке национальной программы в сфере развития международной кооперации и экспорта исходить из того, что в 2024 году необходимо обеспечить: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а) достижение следующих целей и целевых показателей: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формирование в обрабатывающей промышленности, сельском хозяйстве, сфере услуг глобальных конкурентоспособных несырьевых секторов, общая доля экспорта товаров (работ, услуг) которых составит не менее 20 процентов валового внутреннего продукта страны;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достижение объема экспорта (в стоимостном выражении) несырьевых неэнергетических товаров в размере 250 млрд. долларов США в год, в том числе продукции машиностроения - 50 млрд. долларов США в год и продукции агропромышленного комплекса - 45 млрд. долларов США в год, а также объема экспорта оказываемых услуг в размере 100 млрд. долларов США в год;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формирование эффективной системы разделения труда и производственной кооперации в рамках Евразийского экономического союза в целях увеличения объема торговли между государствами - членами Союза не менее чем в полтора раза и обеспечения роста объема накопленных взаимных инвестиций в полтора раза;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б) решение следующих задач: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ориентация промышленной, аграрной и торговой политики, включая применяемые механизмы государственной поддержки, на достижение международной конкурентоспособности российских товаров (работ, услуг) в целях обеспечения их присутствия на внешних рынках;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 xml:space="preserve">сокращение административных процедур и барьеров в сфере международной торговли, включая отмену избыточных требований при лицензировании экспорта и осуществлении валютного контроля, организация (к 2021 году) взаимодействия субъектов международной </w:t>
      </w:r>
      <w:r>
        <w:lastRenderedPageBreak/>
        <w:t>торговли с контролирующими органами по принципу "одного окна";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завершение создания гибкой линейки финансовых инструментов поддержки экспорта (к 2021 году), включая расширенное предэкспортное, экспортное и акционерное финансирование, лизинг и долгосрочные меры поддержки;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устранение логистических ограничений при экспорте товаров с использованием железнодорожного, автомобильного и морского транспорта, а также строительство (модернизация) пунктов пропуска через государственную границу Российской Федерации;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создание единой системы институтов продвижения экспорта, предусматривающей модернизацию торговых представительств Российской Федерации за рубежом;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завершение формирования в рамках Евразийского экономического союза общих рынков товаров, услуг, капитала и рабочей силы, включая окончательное устранение барьеров, ограничений и отмену изъятий в экономическом сотрудничестве, при одновременном активном использовании механизмов совместной проектной деятельности.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 xml:space="preserve">15. Правительству Российской Федерации на основе </w:t>
      </w:r>
      <w:hyperlink r:id="rId16" w:history="1">
        <w:r>
          <w:rPr>
            <w:color w:val="0000FF"/>
          </w:rPr>
          <w:t>стратегии</w:t>
        </w:r>
      </w:hyperlink>
      <w:r>
        <w:t xml:space="preserve"> пространственного развития Российской Федерации разработать с участием органов государственной власти субъектов Российской Федерации и до 1 октября 2018 г. утвердить комплексный </w:t>
      </w:r>
      <w:hyperlink r:id="rId17" w:history="1">
        <w:r>
          <w:rPr>
            <w:color w:val="0000FF"/>
          </w:rPr>
          <w:t>план</w:t>
        </w:r>
      </w:hyperlink>
      <w:r>
        <w:t xml:space="preserve"> модернизации и расширения магистральной инфраструктуры, предусматривающий обеспечение в 2024 году: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а) развития транспортных коридоров "Запад - Восток" и "Север - Юг" для перевозки грузов, в том числе за счет: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строительства и модернизации российских участков автомобильных дорог, относящихся к международному транспортному маршруту "Европа - Западный Китай";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увеличения мощностей морских портов Российской Федерации, включая порты Дальневосточного, Северо-Западного, Волго-Каспийского и Азово-Черноморского бассейнов;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развития Северного морского пути и увеличения грузопотока по нему до 80 млн. тонн;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сокращения времени перевозки контейнеров железнодорожным транспортом, в частности с Дальнего Востока до западной границы Российской Федерации до семи дней, и увеличения объема транзитных перевозок контейнеров железнодорожным транспортом в четыре раза;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формирования узловых грузовых мультимодальных транспортно-логистических центров;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увеличения пропускной способности Байкало-Амурской и Транссибирской железнодорожных магистралей в полтора раза, до 180 млн. тонн;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увеличения пропускной способности железнодорожных подходов к морским портам Азово-Черноморского бассейна;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б) повышения уровня экономической связанности территории Российской Федерации посредством расширения и модернизации железнодорожной, авиационной, автодорожной, морской и речной инфраструктуры, в том числе за счет: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поэтапного развития транспортных коммуникаций между административными центрами субъектов Российской Федерации и другими городами - центрами экономического роста, включая ликвидацию инфраструктурных ограничений на имеющих перспективы развития территориях, прилегающих к таким транспортным коммуникациям;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 xml:space="preserve">реконструкции инфраструктуры региональных аэропортов и расширения сети межрегиональных регулярных пассажирских авиационных маршрутов, минуя Москву, до 50 </w:t>
      </w:r>
      <w:r>
        <w:lastRenderedPageBreak/>
        <w:t>процентов от общего количества внутренних регулярных авиационных маршрутов;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создания основы для развития скоростного и высокоскоростного железнодорожного сообщения между крупными городами;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увеличения пропускной способности внутренних водных путей;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в) гарантированного обеспечения доступной электроэнергией, в том числе за счет: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электрификации транспортных коридоров "Запад - Восток" и "Север - Юг", включая Байкало-Амурскую и Транссибирскую железнодорожные магистрали, во взаимосвязи с развитием транспортной инфраструктуры;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развития централизованных энергосистем, включая модернизацию генерирующих мощностей тепловых, атомных и гидроэлектростанций в соответствии с потребностями социально-экономического развития;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устойчивого энергоснабжения потребителей на территориях субъектов Российской Федерации, прежде всего Республики Крым, г. Севастополя, Калининградской области, а также субъектов Российской Федерации, входящих в состав Дальневосточного федерального округа;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развития распределенной генерации, в том числе на основе возобновляемых источников энергии, в первую очередь в удаленных и изолированных энергорайонах;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внедрения интеллектуальных систем управления электросетевым хозяйством на базе цифровых технологий.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16. Правительству Российской Федерации: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 xml:space="preserve">а) ежегодно при формировании проекта федерального бюджета на очередной финансовый год и на плановый период предусматривать в приоритетном порядке бюджетные ассигнования федерального бюджета на реализацию национальных проектов (программ), названных в </w:t>
      </w:r>
      <w:hyperlink w:anchor="P26" w:history="1">
        <w:r>
          <w:rPr>
            <w:color w:val="0000FF"/>
          </w:rPr>
          <w:t>подпункте "б" пункта 2</w:t>
        </w:r>
      </w:hyperlink>
      <w:r>
        <w:t xml:space="preserve"> настоящего Указа;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 xml:space="preserve">б) обеспечить направление в приоритетном порядке дополнительных доходов федерального бюджета, образующихся в ходе его исполнения, на реализацию национальных проектов (программ), названных в </w:t>
      </w:r>
      <w:hyperlink w:anchor="P26" w:history="1">
        <w:r>
          <w:rPr>
            <w:color w:val="0000FF"/>
          </w:rPr>
          <w:t>подпункте "б" пункта 2</w:t>
        </w:r>
      </w:hyperlink>
      <w:r>
        <w:t xml:space="preserve"> настоящего Указа.</w:t>
      </w:r>
    </w:p>
    <w:p w:rsidR="007B3A1C" w:rsidRDefault="007B3A1C">
      <w:pPr>
        <w:pStyle w:val="ConsPlusNormal"/>
        <w:spacing w:before="220"/>
        <w:ind w:firstLine="540"/>
        <w:jc w:val="both"/>
      </w:pPr>
      <w:r>
        <w:t>17. Настоящий Указ вступает в силу со дня его официального опубликования.</w:t>
      </w:r>
    </w:p>
    <w:p w:rsidR="007B3A1C" w:rsidRDefault="007B3A1C">
      <w:pPr>
        <w:pStyle w:val="ConsPlusNormal"/>
        <w:jc w:val="both"/>
      </w:pPr>
    </w:p>
    <w:p w:rsidR="007B3A1C" w:rsidRDefault="007B3A1C">
      <w:pPr>
        <w:pStyle w:val="ConsPlusNormal"/>
        <w:jc w:val="right"/>
      </w:pPr>
      <w:r>
        <w:t>Президент</w:t>
      </w:r>
    </w:p>
    <w:p w:rsidR="007B3A1C" w:rsidRDefault="007B3A1C">
      <w:pPr>
        <w:pStyle w:val="ConsPlusNormal"/>
        <w:jc w:val="right"/>
      </w:pPr>
      <w:r>
        <w:t>Российской Федерации</w:t>
      </w:r>
    </w:p>
    <w:p w:rsidR="007B3A1C" w:rsidRDefault="007B3A1C">
      <w:pPr>
        <w:pStyle w:val="ConsPlusNormal"/>
        <w:jc w:val="right"/>
      </w:pPr>
      <w:r>
        <w:t>В.ПУТИН</w:t>
      </w:r>
    </w:p>
    <w:p w:rsidR="007B3A1C" w:rsidRDefault="007B3A1C">
      <w:pPr>
        <w:pStyle w:val="ConsPlusNormal"/>
      </w:pPr>
      <w:r>
        <w:t>Москва, Кремль</w:t>
      </w:r>
    </w:p>
    <w:p w:rsidR="007B3A1C" w:rsidRDefault="007B3A1C">
      <w:pPr>
        <w:pStyle w:val="ConsPlusNormal"/>
        <w:spacing w:before="220"/>
      </w:pPr>
      <w:r>
        <w:t>7 мая 2018 года</w:t>
      </w:r>
    </w:p>
    <w:p w:rsidR="007B3A1C" w:rsidRDefault="007B3A1C">
      <w:pPr>
        <w:pStyle w:val="ConsPlusNormal"/>
        <w:spacing w:before="220"/>
      </w:pPr>
      <w:r>
        <w:t>N 204</w:t>
      </w:r>
    </w:p>
    <w:p w:rsidR="007B3A1C" w:rsidRDefault="007B3A1C">
      <w:pPr>
        <w:pStyle w:val="ConsPlusNormal"/>
        <w:jc w:val="both"/>
      </w:pPr>
    </w:p>
    <w:p w:rsidR="007B3A1C" w:rsidRDefault="007B3A1C">
      <w:pPr>
        <w:pStyle w:val="ConsPlusNormal"/>
        <w:jc w:val="both"/>
      </w:pPr>
    </w:p>
    <w:p w:rsidR="007B3A1C" w:rsidRDefault="007B3A1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1DB1" w:rsidRDefault="007B3A1C">
      <w:bookmarkStart w:id="2" w:name="_GoBack"/>
      <w:bookmarkEnd w:id="2"/>
    </w:p>
    <w:sectPr w:rsidR="008B1DB1" w:rsidSect="00CD0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A1C"/>
    <w:rsid w:val="007B3A1C"/>
    <w:rsid w:val="00B07049"/>
    <w:rsid w:val="00D6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3A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3A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3A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3A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3A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3A1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307841A669489E1CDE300BA72382724E953DC8DC78F1AF05AC94CDC16FB4244F24243287B5B06AEDA607DBD6MD3DF" TargetMode="External"/><Relationship Id="rId13" Type="http://schemas.openxmlformats.org/officeDocument/2006/relationships/hyperlink" Target="consultantplus://offline/ref=D1307841A669489E1CDE300BA72382724E9430C1DF76F1AF05AC94CDC16FB4245D247C3E87B6AE6AEDB3518A9088FA9A2C31837694FBB6E6MB39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1307841A669489E1CDE300BA72382724E9532C1DD7CF1AF05AC94CDC16FB4245D247C3E87B6AE6AE8B3518A9088FA9A2C31837694FBB6E6MB39F" TargetMode="External"/><Relationship Id="rId12" Type="http://schemas.openxmlformats.org/officeDocument/2006/relationships/hyperlink" Target="consultantplus://offline/ref=D1307841A669489E1CDE300BA72382724E9137CFDC76F1AF05AC94CDC16FB4245D247C3E87B6AE6BEEB3518A9088FA9A2C31837694FBB6E6MB39F" TargetMode="External"/><Relationship Id="rId17" Type="http://schemas.openxmlformats.org/officeDocument/2006/relationships/hyperlink" Target="consultantplus://offline/ref=D1307841A669489E1CDE300BA72382724E953DCEDE7DF1AF05AC94CDC16FB4245D247C3E87B6AE6BECB3518A9088FA9A2C31837694FBB6E6MB39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1307841A669489E1CDE300BA72382724E9637CEDD7FF1AF05AC94CDC16FB4245D247C3E87B6AE6AE3B3518A9088FA9A2C31837694FBB6E6MB39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1307841A669489E1CDE300BA72382724E9131C1D97FF1AF05AC94CDC16FB4245D247C3E87B6AE6BEDB3518A9088FA9A2C31837694FBB6E6MB39F" TargetMode="External"/><Relationship Id="rId11" Type="http://schemas.openxmlformats.org/officeDocument/2006/relationships/hyperlink" Target="consultantplus://offline/ref=D1307841A669489E1CDE300BA72382724C9134CEDB7FF1AF05AC94CDC16FB4245D247C3E87B6AF68E9B3518A9088FA9A2C31837694FBB6E6MB39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1307841A669489E1CDE300BA72382724E943CCDD97CF1AF05AC94CDC16FB4244F24243287B5B06AEDA607DBD6MD3DF" TargetMode="External"/><Relationship Id="rId10" Type="http://schemas.openxmlformats.org/officeDocument/2006/relationships/hyperlink" Target="consultantplus://offline/ref=D1307841A669489E1CDE300BA72382724E9131C1D97FF1AF05AC94CDC16FB4245D247C3E87B6AE6BEDB3518A9088FA9A2C31837694FBB6E6MB39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1307841A669489E1CDE300BA72382724E9435CBDF7FF1AF05AC94CDC16FB4245D247C3E87B6AE6AEBB3518A9088FA9A2C31837694FBB6E6MB39F" TargetMode="External"/><Relationship Id="rId14" Type="http://schemas.openxmlformats.org/officeDocument/2006/relationships/hyperlink" Target="consultantplus://offline/ref=D1307841A669489E1CDE300BA72382724F923DCCDF78F1AF05AC94CDC16FB4244F24243287B5B06AEDA607DBD6MD3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5439</Words>
  <Characters>31008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Червова Светлана</dc:creator>
  <cp:lastModifiedBy>Червова Светлана</cp:lastModifiedBy>
  <cp:revision>1</cp:revision>
  <dcterms:created xsi:type="dcterms:W3CDTF">2020-07-03T05:55:00Z</dcterms:created>
  <dcterms:modified xsi:type="dcterms:W3CDTF">2020-07-03T05:55:00Z</dcterms:modified>
</cp:coreProperties>
</file>