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C1" w:rsidRDefault="008A4772" w:rsidP="00850FA5">
      <w:pPr>
        <w:spacing w:after="168" w:line="265" w:lineRule="auto"/>
        <w:ind w:left="0" w:right="-14" w:firstLine="0"/>
        <w:jc w:val="right"/>
      </w:pPr>
      <w:r>
        <w:t xml:space="preserve">Приложение 1 </w:t>
      </w:r>
    </w:p>
    <w:p w:rsidR="006B2B9D" w:rsidRDefault="006B2B9D" w:rsidP="006B2B9D">
      <w:pPr>
        <w:spacing w:after="0" w:line="240" w:lineRule="auto"/>
        <w:ind w:left="0" w:right="0" w:firstLine="0"/>
        <w:jc w:val="center"/>
      </w:pPr>
      <w:r>
        <w:rPr>
          <w:b/>
          <w:sz w:val="27"/>
        </w:rPr>
        <w:t xml:space="preserve">На «Уроке цифры» </w:t>
      </w:r>
      <w:proofErr w:type="spellStart"/>
      <w:r>
        <w:rPr>
          <w:b/>
          <w:sz w:val="27"/>
        </w:rPr>
        <w:t>Росатом</w:t>
      </w:r>
      <w:proofErr w:type="spellEnd"/>
      <w:r>
        <w:rPr>
          <w:b/>
          <w:sz w:val="27"/>
        </w:rPr>
        <w:t xml:space="preserve"> познакомит школьников с квантовым компьютером</w:t>
      </w:r>
    </w:p>
    <w:p w:rsidR="006B2B9D" w:rsidRDefault="006B2B9D" w:rsidP="006B2B9D">
      <w:pPr>
        <w:spacing w:after="11"/>
      </w:pPr>
      <w:r>
        <w:rPr>
          <w:b/>
          <w:sz w:val="27"/>
        </w:rPr>
        <w:t xml:space="preserve"> </w:t>
      </w:r>
    </w:p>
    <w:p w:rsidR="006B2B9D" w:rsidRDefault="006B2B9D" w:rsidP="006B2B9D">
      <w:pPr>
        <w:ind w:left="-15" w:right="-10" w:firstLine="698"/>
      </w:pPr>
      <w:r>
        <w:rPr>
          <w:sz w:val="27"/>
        </w:rPr>
        <w:t xml:space="preserve">С 10 марта по 10 апреля </w:t>
      </w:r>
      <w:proofErr w:type="spellStart"/>
      <w:r>
        <w:rPr>
          <w:sz w:val="27"/>
        </w:rPr>
        <w:t>Госкорпорация</w:t>
      </w:r>
      <w:proofErr w:type="spellEnd"/>
      <w:r>
        <w:rPr>
          <w:sz w:val="27"/>
        </w:rPr>
        <w:t xml:space="preserve"> «</w:t>
      </w:r>
      <w:proofErr w:type="spellStart"/>
      <w:r>
        <w:rPr>
          <w:sz w:val="27"/>
        </w:rPr>
        <w:t>Росатом</w:t>
      </w:r>
      <w:proofErr w:type="spellEnd"/>
      <w:r>
        <w:rPr>
          <w:sz w:val="27"/>
        </w:rPr>
        <w:t xml:space="preserve">» примет участие во всероссийском образовательном проекте «Урок цифры» и проведет для школьников и учителей обучающее занятие по теме «Квантовый мир: как устроен квантовый компьютер».  </w:t>
      </w:r>
    </w:p>
    <w:p w:rsidR="006B2B9D" w:rsidRDefault="006B2B9D" w:rsidP="006B2B9D">
      <w:pPr>
        <w:ind w:left="-15" w:right="-10" w:firstLine="698"/>
      </w:pPr>
      <w:r>
        <w:rPr>
          <w:sz w:val="27"/>
        </w:rPr>
        <w:t xml:space="preserve">Новый урок подготовлен в рамках реализации национальной программы «Цифровая экономика Российской Федерации», а также дорожной карты по квантовым вычислениям при поддержке Российского квантового центра, Национальной квантовой лаборатории и Газпромбанка. В его основе – познавательный материал, посвященный квантовому компьютеру: особенностям, отличиям от привычных ПК, функционалу и изменениям, которые произойдут в мире с его появлением. Организаторы мероприятия – АНО «Цифровая экономика», </w:t>
      </w:r>
      <w:proofErr w:type="spellStart"/>
      <w:r>
        <w:rPr>
          <w:sz w:val="27"/>
        </w:rPr>
        <w:t>Минцифры</w:t>
      </w:r>
      <w:proofErr w:type="spellEnd"/>
      <w:r>
        <w:rPr>
          <w:sz w:val="27"/>
        </w:rPr>
        <w:t xml:space="preserve"> России, Минпросвещения России, а также высокотехнологичные компании-лидеры цифровой трансформации. </w:t>
      </w:r>
    </w:p>
    <w:p w:rsidR="006B2B9D" w:rsidRDefault="006B2B9D" w:rsidP="006B2B9D">
      <w:pPr>
        <w:ind w:left="-15" w:right="-10" w:firstLine="698"/>
      </w:pPr>
      <w:r>
        <w:rPr>
          <w:sz w:val="27"/>
        </w:rPr>
        <w:t xml:space="preserve">«Урок цифры» будет состоять из теоретической части и блока с упражнениями (игрового тренажера). Десятиминутный фильм о принципах квантовой физики, устройстве нашего мира и практическом применении квантового компьютера поможет школьникам лучше понять растущий интерес к новому типу вычислительных устройств. В то же время игровые задания по обучению алгоритма и квантовому программированию позволят популяризировать науку среди учащихся 17 и 8-11 классов. Приступить к уроку можно на сайте в любое время.  </w:t>
      </w:r>
    </w:p>
    <w:p w:rsidR="006B2B9D" w:rsidRDefault="006B2B9D" w:rsidP="006B2B9D">
      <w:pPr>
        <w:ind w:left="-15" w:right="-10" w:firstLine="698"/>
      </w:pPr>
      <w:r>
        <w:rPr>
          <w:sz w:val="27"/>
        </w:rPr>
        <w:t xml:space="preserve">«Формирование кадрового резерва для квантовой индустрии – одна из ключевых задач, над которой мы работаем. Важно, чтобы школьники уже с начальных классов понимали, как в действительности устроен мир, и что квантовые эффекты – не что-то чужеродное. Чем раньше ребята научатся жить с этим осознанием, тем быстрее у них появятся идеи, как их правильно использовать. </w:t>
      </w:r>
      <w:proofErr w:type="spellStart"/>
      <w:r>
        <w:rPr>
          <w:sz w:val="27"/>
        </w:rPr>
        <w:t>Росатом</w:t>
      </w:r>
      <w:proofErr w:type="spellEnd"/>
      <w:r>
        <w:rPr>
          <w:sz w:val="27"/>
        </w:rPr>
        <w:t xml:space="preserve"> с нуля создает новую отрасль, поэтому участие в таких образовательных проектах, как «Урок цифры» – значимая часть стратегии по поиску талантливых детей и популяризации науки», </w:t>
      </w:r>
      <w:r>
        <w:rPr>
          <w:i/>
          <w:sz w:val="27"/>
        </w:rPr>
        <w:t xml:space="preserve">– </w:t>
      </w:r>
      <w:r>
        <w:rPr>
          <w:b/>
          <w:i/>
          <w:sz w:val="27"/>
        </w:rPr>
        <w:t xml:space="preserve">отметил Руслан Юнусов, руководитель проектного офиса по квантовым технологиям </w:t>
      </w:r>
      <w:proofErr w:type="spellStart"/>
      <w:r>
        <w:rPr>
          <w:b/>
          <w:i/>
          <w:sz w:val="27"/>
        </w:rPr>
        <w:t>Госкорпорации</w:t>
      </w:r>
      <w:proofErr w:type="spellEnd"/>
      <w:r>
        <w:rPr>
          <w:b/>
          <w:i/>
          <w:sz w:val="27"/>
        </w:rPr>
        <w:t xml:space="preserve"> «</w:t>
      </w:r>
      <w:proofErr w:type="spellStart"/>
      <w:r>
        <w:rPr>
          <w:b/>
          <w:i/>
          <w:sz w:val="27"/>
        </w:rPr>
        <w:t>Росатом</w:t>
      </w:r>
      <w:proofErr w:type="spellEnd"/>
      <w:r>
        <w:rPr>
          <w:b/>
          <w:i/>
          <w:sz w:val="27"/>
        </w:rPr>
        <w:t>»</w:t>
      </w:r>
      <w:r>
        <w:rPr>
          <w:i/>
          <w:sz w:val="27"/>
        </w:rPr>
        <w:t>.</w:t>
      </w:r>
      <w:r>
        <w:rPr>
          <w:sz w:val="27"/>
        </w:rPr>
        <w:t xml:space="preserve"> </w:t>
      </w:r>
    </w:p>
    <w:p w:rsidR="006B2B9D" w:rsidRDefault="006B2B9D" w:rsidP="006B2B9D">
      <w:pPr>
        <w:ind w:left="-15" w:right="-10" w:firstLine="698"/>
      </w:pPr>
      <w:r>
        <w:rPr>
          <w:sz w:val="27"/>
        </w:rPr>
        <w:t xml:space="preserve">«Благодаря новому партнеру «Урок цифры», </w:t>
      </w:r>
      <w:proofErr w:type="spellStart"/>
      <w:r>
        <w:rPr>
          <w:sz w:val="27"/>
        </w:rPr>
        <w:t>госкорпорации</w:t>
      </w:r>
      <w:proofErr w:type="spellEnd"/>
      <w:r>
        <w:rPr>
          <w:sz w:val="27"/>
        </w:rPr>
        <w:t xml:space="preserve"> «</w:t>
      </w:r>
      <w:proofErr w:type="spellStart"/>
      <w:r>
        <w:rPr>
          <w:sz w:val="27"/>
        </w:rPr>
        <w:t>Росатом</w:t>
      </w:r>
      <w:proofErr w:type="spellEnd"/>
      <w:r>
        <w:rPr>
          <w:sz w:val="27"/>
        </w:rPr>
        <w:t xml:space="preserve">», у нас появилась возможность расширить тематику проекта, обогатив ее такой интересной и актуальной темой. Квантовые компьютеры обещают прорыв не только в информационных технологиях, но и в целом ряде смежных областей – физике, химии, биологии, медицине, транспорте и др. Работу с ними уже ведут мировые гиганты отрасли. И чтобы завтра российские компании могли соответствовать высокому уровню требований отрасли, важно, чтобы сегодня мы смогли заинтересовать и увлечь будущих разработчиков”, </w:t>
      </w:r>
      <w:r>
        <w:rPr>
          <w:i/>
          <w:sz w:val="27"/>
        </w:rPr>
        <w:t>–</w:t>
      </w:r>
      <w:r>
        <w:rPr>
          <w:b/>
          <w:i/>
          <w:sz w:val="27"/>
        </w:rPr>
        <w:t xml:space="preserve"> комментирует заместитель директора АНО «Цифровая экономика» по направлению «Кадры для цифровой экономики» Юлия </w:t>
      </w:r>
    </w:p>
    <w:p w:rsidR="006B2B9D" w:rsidRDefault="006B2B9D" w:rsidP="006B2B9D">
      <w:pPr>
        <w:spacing w:after="0"/>
      </w:pPr>
      <w:proofErr w:type="spellStart"/>
      <w:r>
        <w:rPr>
          <w:b/>
          <w:i/>
          <w:sz w:val="27"/>
        </w:rPr>
        <w:t>Горячкина</w:t>
      </w:r>
      <w:proofErr w:type="spellEnd"/>
      <w:r>
        <w:rPr>
          <w:b/>
          <w:sz w:val="27"/>
        </w:rPr>
        <w:t xml:space="preserve"> </w:t>
      </w:r>
    </w:p>
    <w:p w:rsidR="006B2B9D" w:rsidRDefault="006B2B9D" w:rsidP="006B2B9D">
      <w:pPr>
        <w:spacing w:after="16"/>
        <w:ind w:left="708"/>
      </w:pPr>
      <w:r>
        <w:lastRenderedPageBreak/>
        <w:t xml:space="preserve"> </w:t>
      </w:r>
    </w:p>
    <w:p w:rsidR="006B2B9D" w:rsidRDefault="006B2B9D" w:rsidP="006B2B9D">
      <w:pPr>
        <w:spacing w:after="7" w:line="265" w:lineRule="auto"/>
        <w:ind w:left="701" w:right="836" w:hanging="8"/>
      </w:pPr>
      <w:r>
        <w:rPr>
          <w:b/>
          <w:sz w:val="27"/>
        </w:rPr>
        <w:t xml:space="preserve">Справка:  </w:t>
      </w:r>
    </w:p>
    <w:p w:rsidR="006B2B9D" w:rsidRDefault="006B2B9D" w:rsidP="006B2B9D">
      <w:pPr>
        <w:spacing w:after="16"/>
        <w:ind w:left="708"/>
      </w:pPr>
      <w:r>
        <w:rPr>
          <w:sz w:val="27"/>
        </w:rPr>
        <w:t xml:space="preserve"> </w:t>
      </w:r>
    </w:p>
    <w:p w:rsidR="006B2B9D" w:rsidRDefault="006B2B9D" w:rsidP="006B2B9D">
      <w:pPr>
        <w:ind w:left="-15" w:right="-10" w:firstLine="698"/>
      </w:pPr>
      <w:r>
        <w:rPr>
          <w:sz w:val="27"/>
        </w:rPr>
        <w:t xml:space="preserve">«Урок цифры» </w:t>
      </w:r>
      <w:r>
        <w:rPr>
          <w:i/>
          <w:sz w:val="27"/>
        </w:rPr>
        <w:t>–</w:t>
      </w:r>
      <w:r>
        <w:rPr>
          <w:sz w:val="27"/>
        </w:rPr>
        <w:t xml:space="preserve"> это всероссийский образовательный проект, позволяющий учащимся получить знания от ведущих технологических компаний и развить навыки и компетенции цифровой экономики. Проект реализуется в рамках федерального проекта «Кадры для цифровой экономики».  </w:t>
      </w:r>
    </w:p>
    <w:p w:rsidR="006B2B9D" w:rsidRDefault="006B2B9D" w:rsidP="006B2B9D">
      <w:pPr>
        <w:ind w:left="708" w:right="-10"/>
      </w:pPr>
      <w:r>
        <w:rPr>
          <w:sz w:val="27"/>
        </w:rPr>
        <w:t xml:space="preserve">Партнерами «Урока цифры» в 2021/22 учебном году выступают «Лаборатория </w:t>
      </w:r>
    </w:p>
    <w:p w:rsidR="006B2B9D" w:rsidRDefault="006B2B9D" w:rsidP="006B2B9D">
      <w:pPr>
        <w:ind w:left="-15" w:right="-10"/>
      </w:pPr>
      <w:r>
        <w:rPr>
          <w:sz w:val="27"/>
        </w:rPr>
        <w:t xml:space="preserve">Касперского», благотворительный фонд Сбербанка «Вклад в будущее», компании Яндекс, «1С», VK, </w:t>
      </w:r>
      <w:proofErr w:type="spellStart"/>
      <w:r>
        <w:rPr>
          <w:sz w:val="27"/>
        </w:rPr>
        <w:t>Госкорпорация</w:t>
      </w:r>
      <w:proofErr w:type="spellEnd"/>
      <w:r>
        <w:rPr>
          <w:sz w:val="27"/>
        </w:rPr>
        <w:t xml:space="preserve"> «</w:t>
      </w:r>
      <w:proofErr w:type="spellStart"/>
      <w:r>
        <w:rPr>
          <w:sz w:val="27"/>
        </w:rPr>
        <w:t>Росатом</w:t>
      </w:r>
      <w:proofErr w:type="spellEnd"/>
      <w:r>
        <w:rPr>
          <w:sz w:val="27"/>
        </w:rPr>
        <w:t xml:space="preserve">». Технологические партнеры </w:t>
      </w:r>
      <w:r>
        <w:rPr>
          <w:i/>
          <w:sz w:val="27"/>
        </w:rPr>
        <w:t>–</w:t>
      </w:r>
      <w:r>
        <w:rPr>
          <w:sz w:val="27"/>
        </w:rPr>
        <w:t xml:space="preserve"> международная школа программирования «Алгоритмика».  </w:t>
      </w:r>
    </w:p>
    <w:p w:rsidR="006B2B9D" w:rsidRDefault="006B2B9D" w:rsidP="006B2B9D">
      <w:pPr>
        <w:ind w:left="-15" w:right="-10" w:firstLine="698"/>
      </w:pPr>
      <w:r>
        <w:rPr>
          <w:sz w:val="27"/>
        </w:rPr>
        <w:t xml:space="preserve">В прошлом учебном году «Урок цифры» охватил больше половины российских школьников. За 3,5 года дети, родители и учителя обратились к урокам, доступным на сайте проекта, более 48 млн раз. Проект охватил все 85 регионов России, а в 2019/2020 учебном году расширил свою географию </w:t>
      </w:r>
      <w:r>
        <w:rPr>
          <w:i/>
          <w:sz w:val="27"/>
        </w:rPr>
        <w:t>–</w:t>
      </w:r>
      <w:r>
        <w:rPr>
          <w:sz w:val="27"/>
        </w:rPr>
        <w:t xml:space="preserve"> при поддержке </w:t>
      </w:r>
      <w:proofErr w:type="spellStart"/>
      <w:r>
        <w:rPr>
          <w:sz w:val="27"/>
        </w:rPr>
        <w:t>Россотрудничества</w:t>
      </w:r>
      <w:proofErr w:type="spellEnd"/>
      <w:r>
        <w:rPr>
          <w:sz w:val="27"/>
        </w:rPr>
        <w:t xml:space="preserve"> учащиеся русскоязычных школ из 100+ стран прошли тренажеры от ведущих российских компаний цифровой экономики. </w:t>
      </w:r>
    </w:p>
    <w:p w:rsidR="006B2B9D" w:rsidRDefault="006B2B9D" w:rsidP="006B2B9D">
      <w:pPr>
        <w:spacing w:after="20"/>
        <w:ind w:left="708"/>
      </w:pPr>
      <w:r>
        <w:rPr>
          <w:sz w:val="27"/>
        </w:rPr>
        <w:t xml:space="preserve"> </w:t>
      </w:r>
    </w:p>
    <w:p w:rsidR="006B2B9D" w:rsidRDefault="006B2B9D" w:rsidP="006B2B9D">
      <w:pPr>
        <w:ind w:left="-15" w:right="-10" w:firstLine="698"/>
      </w:pPr>
      <w:proofErr w:type="spellStart"/>
      <w:r>
        <w:rPr>
          <w:b/>
          <w:sz w:val="27"/>
        </w:rPr>
        <w:t>Госкорпорация</w:t>
      </w:r>
      <w:proofErr w:type="spellEnd"/>
      <w:r>
        <w:rPr>
          <w:b/>
          <w:sz w:val="27"/>
        </w:rPr>
        <w:t xml:space="preserve"> «</w:t>
      </w:r>
      <w:proofErr w:type="spellStart"/>
      <w:r>
        <w:rPr>
          <w:b/>
          <w:sz w:val="27"/>
        </w:rPr>
        <w:t>Росатом</w:t>
      </w:r>
      <w:proofErr w:type="spellEnd"/>
      <w:r>
        <w:rPr>
          <w:b/>
          <w:sz w:val="27"/>
        </w:rPr>
        <w:t>»</w:t>
      </w:r>
      <w:r>
        <w:rPr>
          <w:sz w:val="27"/>
        </w:rPr>
        <w:t xml:space="preserve"> </w:t>
      </w:r>
      <w:r>
        <w:rPr>
          <w:i/>
          <w:sz w:val="27"/>
        </w:rPr>
        <w:t>–</w:t>
      </w:r>
      <w:r>
        <w:rPr>
          <w:sz w:val="27"/>
        </w:rPr>
        <w:t xml:space="preserve"> глобальный технологический многопрофильный холдинг, объединяющий активы в энергетике, машиностроении, строительстве. Включает в себя более 300 предприятий и организаций, в которых работает 275 тыс. чел. С 2018 г. реализует единую цифровую стратегию (ЕЦС), предполагающую многоплановую работу по ряду направлений. В направлении «Участие в цифровизации России» является центром компетенций федерального проекта </w:t>
      </w:r>
    </w:p>
    <w:p w:rsidR="006B2B9D" w:rsidRDefault="006B2B9D" w:rsidP="006B2B9D">
      <w:pPr>
        <w:ind w:left="-15" w:right="-10"/>
      </w:pPr>
      <w:r>
        <w:rPr>
          <w:sz w:val="27"/>
        </w:rPr>
        <w:t xml:space="preserve">«Цифровые технологии» </w:t>
      </w:r>
      <w:proofErr w:type="spellStart"/>
      <w:r>
        <w:rPr>
          <w:sz w:val="27"/>
        </w:rPr>
        <w:t>нацпрограммы</w:t>
      </w:r>
      <w:proofErr w:type="spellEnd"/>
      <w:r>
        <w:rPr>
          <w:sz w:val="27"/>
        </w:rPr>
        <w:t xml:space="preserve"> «Цифровая экономика Российской Федерации»; ответственным за создание в России к 2024 г. квантового компьютера; совместно с </w:t>
      </w:r>
      <w:proofErr w:type="spellStart"/>
      <w:r>
        <w:rPr>
          <w:sz w:val="27"/>
        </w:rPr>
        <w:t>Госкорпорацией</w:t>
      </w:r>
      <w:proofErr w:type="spellEnd"/>
      <w:r>
        <w:rPr>
          <w:sz w:val="27"/>
        </w:rPr>
        <w:t xml:space="preserve"> «</w:t>
      </w:r>
      <w:proofErr w:type="spellStart"/>
      <w:r>
        <w:rPr>
          <w:sz w:val="27"/>
        </w:rPr>
        <w:t>Ростех</w:t>
      </w:r>
      <w:proofErr w:type="spellEnd"/>
      <w:r>
        <w:rPr>
          <w:sz w:val="27"/>
        </w:rPr>
        <w:t>» выст</w:t>
      </w:r>
      <w:bookmarkStart w:id="0" w:name="_GoBack"/>
      <w:bookmarkEnd w:id="0"/>
      <w:r>
        <w:rPr>
          <w:sz w:val="27"/>
        </w:rPr>
        <w:t xml:space="preserve">упает соисполнителем дорожной карты по развитию высокотехнологичной области «Новые производственные технологии». В направлении «Цифровые продукты» разрабатывает и выводит на рынок цифровые продукты для промышленных предприятий: 15 цифровых продуктов выпущено на рынок в 2018-2021 гг.; 6 запланированы к выводу на рынок в 2022 г. В направлении «Внутренняя цифровизация» обеспечивает </w:t>
      </w:r>
      <w:proofErr w:type="spellStart"/>
      <w:r>
        <w:rPr>
          <w:sz w:val="27"/>
        </w:rPr>
        <w:t>цифровизацию</w:t>
      </w:r>
      <w:proofErr w:type="spellEnd"/>
      <w:r>
        <w:rPr>
          <w:sz w:val="27"/>
        </w:rPr>
        <w:t xml:space="preserve"> процессов сооружения АЭС, цифровое </w:t>
      </w:r>
      <w:proofErr w:type="spellStart"/>
      <w:r>
        <w:rPr>
          <w:sz w:val="27"/>
        </w:rPr>
        <w:t>импортозамещение</w:t>
      </w:r>
      <w:proofErr w:type="spellEnd"/>
      <w:r>
        <w:rPr>
          <w:sz w:val="27"/>
        </w:rPr>
        <w:t xml:space="preserve"> и создание Единой цифровой платформы атомной отрасли. Также в рамках ЕЦС </w:t>
      </w:r>
      <w:proofErr w:type="spellStart"/>
      <w:r>
        <w:rPr>
          <w:sz w:val="27"/>
        </w:rPr>
        <w:t>Росатом</w:t>
      </w:r>
      <w:proofErr w:type="spellEnd"/>
      <w:r>
        <w:rPr>
          <w:sz w:val="27"/>
        </w:rPr>
        <w:t xml:space="preserve">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</w:t>
      </w:r>
      <w:proofErr w:type="spellStart"/>
      <w:r>
        <w:rPr>
          <w:sz w:val="27"/>
        </w:rPr>
        <w:t>нейротехнологии</w:t>
      </w:r>
      <w:proofErr w:type="spellEnd"/>
      <w:r>
        <w:rPr>
          <w:sz w:val="27"/>
        </w:rPr>
        <w:t xml:space="preserve"> и искусственный интеллект, технологии беспроводной связи, робототехника и </w:t>
      </w:r>
      <w:proofErr w:type="spellStart"/>
      <w:proofErr w:type="gramStart"/>
      <w:r>
        <w:rPr>
          <w:sz w:val="27"/>
        </w:rPr>
        <w:t>сенсорика</w:t>
      </w:r>
      <w:proofErr w:type="spellEnd"/>
      <w:proofErr w:type="gramEnd"/>
      <w:r>
        <w:rPr>
          <w:sz w:val="27"/>
        </w:rPr>
        <w:t xml:space="preserve"> и др. </w:t>
      </w:r>
    </w:p>
    <w:p w:rsidR="006B2B9D" w:rsidRDefault="006B2B9D">
      <w:pPr>
        <w:spacing w:after="160" w:line="259" w:lineRule="auto"/>
        <w:ind w:left="0" w:right="0" w:firstLine="0"/>
        <w:jc w:val="left"/>
      </w:pPr>
      <w:r>
        <w:br w:type="page"/>
      </w:r>
    </w:p>
    <w:p w:rsidR="006B2B9D" w:rsidRDefault="006B2B9D" w:rsidP="006B2B9D">
      <w:pPr>
        <w:spacing w:after="0"/>
        <w:ind w:left="1068" w:hanging="10"/>
      </w:pPr>
      <w:r>
        <w:rPr>
          <w:b/>
        </w:rPr>
        <w:lastRenderedPageBreak/>
        <w:t xml:space="preserve">Рекомендации по проведению открытого «Урока цифры» в регионах </w:t>
      </w:r>
    </w:p>
    <w:p w:rsidR="006B2B9D" w:rsidRDefault="006B2B9D" w:rsidP="006B2B9D">
      <w:pPr>
        <w:spacing w:after="0"/>
        <w:ind w:left="777"/>
        <w:jc w:val="center"/>
      </w:pPr>
      <w:r>
        <w:rPr>
          <w:b/>
        </w:rPr>
        <w:t xml:space="preserve"> </w:t>
      </w:r>
    </w:p>
    <w:p w:rsidR="006B2B9D" w:rsidRDefault="006B2B9D" w:rsidP="006B2B9D">
      <w:pPr>
        <w:pStyle w:val="1"/>
        <w:ind w:left="974" w:hanging="281"/>
      </w:pPr>
      <w:r>
        <w:t xml:space="preserve">Место проведения  </w:t>
      </w:r>
    </w:p>
    <w:p w:rsidR="006B2B9D" w:rsidRDefault="006B2B9D" w:rsidP="006B2B9D">
      <w:pPr>
        <w:spacing w:after="4" w:line="248" w:lineRule="auto"/>
        <w:ind w:left="-15" w:firstLine="700"/>
      </w:pPr>
      <w:r>
        <w:t xml:space="preserve">Оптимально – «продвинутая» с точки зрения информатики/математики школа. Но, в зависимости от целей, которые ставит перед собой регион, это может быть наоборот - школа, которой важно с помощью акции «Урок цифры» дать стимул к развитию. </w:t>
      </w:r>
    </w:p>
    <w:p w:rsidR="006B2B9D" w:rsidRDefault="006B2B9D" w:rsidP="006B2B9D">
      <w:pPr>
        <w:pStyle w:val="1"/>
        <w:ind w:left="974" w:hanging="281"/>
      </w:pPr>
      <w:r>
        <w:t xml:space="preserve">Участники открытого урока </w:t>
      </w:r>
    </w:p>
    <w:p w:rsidR="006B2B9D" w:rsidRDefault="006B2B9D" w:rsidP="006B2B9D">
      <w:pPr>
        <w:spacing w:after="4" w:line="248" w:lineRule="auto"/>
        <w:ind w:left="-15" w:firstLine="700"/>
      </w:pPr>
      <w:r>
        <w:rPr>
          <w:rFonts w:ascii="Calibri" w:eastAsia="Calibri" w:hAnsi="Calibri" w:cs="Calibri"/>
        </w:rPr>
        <w:t>─</w:t>
      </w:r>
      <w:r>
        <w:rPr>
          <w:rFonts w:ascii="Arial" w:eastAsia="Arial" w:hAnsi="Arial" w:cs="Arial"/>
        </w:rPr>
        <w:t xml:space="preserve"> </w:t>
      </w:r>
      <w:r>
        <w:t>Школьники, 20-30 человек. Оптимально проводить открытый урок в 4-7 классах – в этом возрасте дети уже в основном понимают аспекты, связанные с информационными технологиями и способны рассуждать о них, но ещё имеют их «детское» восприятие, отличное от «взрослого».</w:t>
      </w:r>
      <w:r>
        <w:rPr>
          <w:rFonts w:ascii="Calibri" w:eastAsia="Calibri" w:hAnsi="Calibri" w:cs="Calibri"/>
        </w:rPr>
        <w:t xml:space="preserve"> </w:t>
      </w:r>
    </w:p>
    <w:p w:rsidR="006B2B9D" w:rsidRDefault="006B2B9D" w:rsidP="006B2B9D">
      <w:pPr>
        <w:spacing w:after="4" w:line="248" w:lineRule="auto"/>
        <w:ind w:left="710"/>
      </w:pPr>
      <w:r>
        <w:rPr>
          <w:rFonts w:ascii="Calibri" w:eastAsia="Calibri" w:hAnsi="Calibri" w:cs="Calibri"/>
        </w:rPr>
        <w:t>─</w:t>
      </w:r>
      <w:r>
        <w:rPr>
          <w:rFonts w:ascii="Arial" w:eastAsia="Arial" w:hAnsi="Arial" w:cs="Arial"/>
        </w:rPr>
        <w:t xml:space="preserve"> </w:t>
      </w:r>
      <w:r>
        <w:t>Официальные лица региона, представители исполнительных органов власти.</w:t>
      </w:r>
      <w:r>
        <w:rPr>
          <w:rFonts w:ascii="Calibri" w:eastAsia="Calibri" w:hAnsi="Calibri" w:cs="Calibri"/>
        </w:rPr>
        <w:t xml:space="preserve"> </w:t>
      </w:r>
    </w:p>
    <w:p w:rsidR="006B2B9D" w:rsidRDefault="006B2B9D" w:rsidP="006B2B9D">
      <w:pPr>
        <w:spacing w:after="4" w:line="248" w:lineRule="auto"/>
        <w:ind w:left="-15" w:firstLine="700"/>
      </w:pPr>
      <w:r>
        <w:rPr>
          <w:rFonts w:ascii="Calibri" w:eastAsia="Calibri" w:hAnsi="Calibri" w:cs="Calibri"/>
        </w:rPr>
        <w:t>─</w:t>
      </w:r>
      <w:r>
        <w:rPr>
          <w:rFonts w:ascii="Arial" w:eastAsia="Arial" w:hAnsi="Arial" w:cs="Arial"/>
        </w:rPr>
        <w:t xml:space="preserve"> </w:t>
      </w:r>
      <w:r>
        <w:t>Представители компаний-партнеров акции (региональные офисы или приглашённые, если есть, это необязательное условие).</w:t>
      </w:r>
      <w:r>
        <w:rPr>
          <w:rFonts w:ascii="Calibri" w:eastAsia="Calibri" w:hAnsi="Calibri" w:cs="Calibri"/>
        </w:rPr>
        <w:t xml:space="preserve"> ─</w:t>
      </w:r>
      <w:r>
        <w:rPr>
          <w:rFonts w:ascii="Arial" w:eastAsia="Arial" w:hAnsi="Arial" w:cs="Arial"/>
        </w:rPr>
        <w:t xml:space="preserve"> </w:t>
      </w:r>
      <w:r>
        <w:t>Представители СМИ.</w:t>
      </w:r>
      <w:r>
        <w:rPr>
          <w:rFonts w:ascii="Calibri" w:eastAsia="Calibri" w:hAnsi="Calibri" w:cs="Calibri"/>
        </w:rPr>
        <w:t xml:space="preserve"> </w:t>
      </w:r>
    </w:p>
    <w:p w:rsidR="006B2B9D" w:rsidRDefault="006B2B9D" w:rsidP="006B2B9D">
      <w:pPr>
        <w:pStyle w:val="1"/>
        <w:ind w:left="974" w:hanging="281"/>
      </w:pPr>
      <w:r>
        <w:t xml:space="preserve">Модерация </w:t>
      </w:r>
    </w:p>
    <w:p w:rsidR="006B2B9D" w:rsidRDefault="006B2B9D" w:rsidP="006B2B9D">
      <w:pPr>
        <w:spacing w:after="4" w:line="248" w:lineRule="auto"/>
        <w:ind w:left="-15" w:firstLine="700"/>
      </w:pPr>
      <w:r>
        <w:t xml:space="preserve">Важно, чтобы урок был </w:t>
      </w:r>
      <w:proofErr w:type="spellStart"/>
      <w:r>
        <w:t>модерируемым</w:t>
      </w:r>
      <w:proofErr w:type="spellEnd"/>
      <w:r>
        <w:t xml:space="preserve">, и вёл его человек, способный говорить на языке, доступном одновременно и детям, и официальным лицам. Модератору важно заранее:  </w:t>
      </w:r>
    </w:p>
    <w:p w:rsidR="006B2B9D" w:rsidRDefault="006B2B9D" w:rsidP="006B2B9D">
      <w:pPr>
        <w:spacing w:after="4" w:line="248" w:lineRule="auto"/>
        <w:ind w:left="-15" w:firstLine="700"/>
      </w:pPr>
      <w:r>
        <w:rPr>
          <w:rFonts w:ascii="Calibri" w:eastAsia="Calibri" w:hAnsi="Calibri" w:cs="Calibri"/>
        </w:rPr>
        <w:t>─</w:t>
      </w:r>
      <w:r>
        <w:rPr>
          <w:rFonts w:ascii="Arial" w:eastAsia="Arial" w:hAnsi="Arial" w:cs="Arial"/>
        </w:rPr>
        <w:t xml:space="preserve"> </w:t>
      </w:r>
      <w:r>
        <w:t>С помощью администрации выбранной школы собрать вопросы, которые хотели бы задать дети, и выбрать из них наиболее интересные.</w:t>
      </w:r>
      <w:r>
        <w:rPr>
          <w:rFonts w:ascii="Calibri" w:eastAsia="Calibri" w:hAnsi="Calibri" w:cs="Calibri"/>
        </w:rPr>
        <w:t xml:space="preserve"> </w:t>
      </w:r>
    </w:p>
    <w:p w:rsidR="006B2B9D" w:rsidRDefault="006B2B9D" w:rsidP="006B2B9D">
      <w:pPr>
        <w:spacing w:after="4" w:line="248" w:lineRule="auto"/>
        <w:ind w:left="-15" w:firstLine="700"/>
      </w:pPr>
      <w:r>
        <w:rPr>
          <w:rFonts w:ascii="Calibri" w:eastAsia="Calibri" w:hAnsi="Calibri" w:cs="Calibri"/>
        </w:rPr>
        <w:t>─</w:t>
      </w:r>
      <w:r>
        <w:rPr>
          <w:rFonts w:ascii="Arial" w:eastAsia="Arial" w:hAnsi="Arial" w:cs="Arial"/>
        </w:rPr>
        <w:t xml:space="preserve"> </w:t>
      </w:r>
      <w:r>
        <w:t>«Разогреть» участвующих детей (поговорить с ними неформально, лучше непосредственно перед открытым уроком).</w:t>
      </w:r>
      <w:r>
        <w:rPr>
          <w:rFonts w:ascii="Calibri" w:eastAsia="Calibri" w:hAnsi="Calibri" w:cs="Calibri"/>
        </w:rPr>
        <w:t xml:space="preserve"> </w:t>
      </w:r>
    </w:p>
    <w:p w:rsidR="006B2B9D" w:rsidRDefault="006B2B9D" w:rsidP="006B2B9D">
      <w:pPr>
        <w:pStyle w:val="1"/>
        <w:ind w:left="974" w:hanging="281"/>
      </w:pPr>
      <w:r>
        <w:t xml:space="preserve">Ход урока </w:t>
      </w:r>
    </w:p>
    <w:p w:rsidR="006B2B9D" w:rsidRDefault="006B2B9D" w:rsidP="006B2B9D">
      <w:pPr>
        <w:spacing w:after="4" w:line="248" w:lineRule="auto"/>
        <w:ind w:left="-15" w:firstLine="700"/>
      </w:pPr>
      <w:r>
        <w:t xml:space="preserve">Открытый урок представляет собой сессию вопросов-ответов, без приветственных слов от официальных лиц. Школьники задают вопросы, официальные лица и представители компаний отвечают. Важно, чтобы при этом получился неформальный разговор. Задача модератора – вовлечь в обсуждение всех. За 45 минут реалистично ответить на 7-10 вопросов, в связи с чем к открытому уроку должно быть подготовлено порядка 20 вопросов. </w:t>
      </w:r>
    </w:p>
    <w:p w:rsidR="006B2B9D" w:rsidRDefault="006B2B9D" w:rsidP="006B2B9D">
      <w:pPr>
        <w:spacing w:after="4" w:line="248" w:lineRule="auto"/>
        <w:ind w:left="708"/>
      </w:pPr>
      <w:r>
        <w:t xml:space="preserve">В конце урока официальные лица дают краткое заключительное слово. </w:t>
      </w:r>
    </w:p>
    <w:p w:rsidR="006B2B9D" w:rsidRDefault="006B2B9D" w:rsidP="006B2B9D">
      <w:pPr>
        <w:spacing w:after="4" w:line="248" w:lineRule="auto"/>
        <w:ind w:left="-15" w:firstLine="700"/>
      </w:pPr>
      <w:r>
        <w:t xml:space="preserve">После урока – пресс-подход (во время урока представители СМИ находятся в классе, но вопросов не задают). </w:t>
      </w:r>
    </w:p>
    <w:p w:rsidR="006B2B9D" w:rsidRDefault="006B2B9D" w:rsidP="006B2B9D">
      <w:pPr>
        <w:spacing w:after="4" w:line="248" w:lineRule="auto"/>
        <w:ind w:left="-15" w:firstLine="700"/>
      </w:pPr>
      <w:r>
        <w:t xml:space="preserve">Расчетное время: 40-45 минут на сам урок, 15 минут на пресс-подход, 30 минут на фуршет – итого 1,5 часа. </w:t>
      </w:r>
    </w:p>
    <w:p w:rsidR="006B2B9D" w:rsidRDefault="006B2B9D" w:rsidP="006B2B9D">
      <w:pPr>
        <w:spacing w:after="4" w:line="248" w:lineRule="auto"/>
        <w:ind w:left="-15" w:firstLine="700"/>
      </w:pPr>
      <w:r>
        <w:t xml:space="preserve">Детям – участникам открытого урока рекомендуется также пройти и стандартный «Урок цифры», состоящий из </w:t>
      </w:r>
      <w:proofErr w:type="spellStart"/>
      <w:r>
        <w:t>видеоурока</w:t>
      </w:r>
      <w:proofErr w:type="spellEnd"/>
      <w:r>
        <w:t xml:space="preserve"> и выполнения заданий в онлайн-тренажере. Это может быть сделано как до, так и после открытого урока. </w:t>
      </w:r>
    </w:p>
    <w:p w:rsidR="006B2B9D" w:rsidRDefault="006B2B9D" w:rsidP="006B2B9D">
      <w:pPr>
        <w:spacing w:after="0"/>
      </w:pPr>
      <w:r>
        <w:rPr>
          <w:rFonts w:ascii="Calibri" w:eastAsia="Calibri" w:hAnsi="Calibri" w:cs="Calibri"/>
          <w:sz w:val="24"/>
        </w:rPr>
        <w:t xml:space="preserve"> </w:t>
      </w:r>
    </w:p>
    <w:p w:rsidR="006B2B9D" w:rsidRDefault="006B2B9D" w:rsidP="006B2B9D">
      <w:pPr>
        <w:sectPr w:rsidR="006B2B9D">
          <w:pgSz w:w="11906" w:h="16838"/>
          <w:pgMar w:top="984" w:right="419" w:bottom="1440" w:left="1277" w:header="720" w:footer="720" w:gutter="0"/>
          <w:cols w:space="720"/>
        </w:sectPr>
      </w:pPr>
    </w:p>
    <w:p w:rsidR="00E236C1" w:rsidRDefault="00E236C1" w:rsidP="006B2B9D">
      <w:pPr>
        <w:spacing w:after="0" w:line="274" w:lineRule="auto"/>
        <w:ind w:left="0" w:right="0" w:firstLine="0"/>
        <w:jc w:val="center"/>
      </w:pPr>
    </w:p>
    <w:sectPr w:rsidR="00E236C1" w:rsidSect="006B2B9D">
      <w:headerReference w:type="even" r:id="rId6"/>
      <w:headerReference w:type="default" r:id="rId7"/>
      <w:headerReference w:type="first" r:id="rId8"/>
      <w:pgSz w:w="11909" w:h="16834"/>
      <w:pgMar w:top="763" w:right="638" w:bottom="157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6E9" w:rsidRDefault="004F26E9">
      <w:pPr>
        <w:spacing w:after="0" w:line="240" w:lineRule="auto"/>
      </w:pPr>
      <w:r>
        <w:separator/>
      </w:r>
    </w:p>
  </w:endnote>
  <w:endnote w:type="continuationSeparator" w:id="0">
    <w:p w:rsidR="004F26E9" w:rsidRDefault="004F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6E9" w:rsidRDefault="004F26E9">
      <w:pPr>
        <w:spacing w:after="0" w:line="240" w:lineRule="auto"/>
      </w:pPr>
      <w:r>
        <w:separator/>
      </w:r>
    </w:p>
  </w:footnote>
  <w:footnote w:type="continuationSeparator" w:id="0">
    <w:p w:rsidR="004F26E9" w:rsidRDefault="004F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C1" w:rsidRDefault="008A4772">
    <w:pPr>
      <w:spacing w:after="0" w:line="259" w:lineRule="auto"/>
      <w:ind w:left="1966" w:right="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C1" w:rsidRDefault="008A4772">
    <w:pPr>
      <w:spacing w:after="0" w:line="259" w:lineRule="auto"/>
      <w:ind w:left="1966" w:right="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6B2B9D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C1" w:rsidRDefault="00E236C1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C1"/>
    <w:rsid w:val="004F26E9"/>
    <w:rsid w:val="006B2B9D"/>
    <w:rsid w:val="00850FA5"/>
    <w:rsid w:val="008A4772"/>
    <w:rsid w:val="00E2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28F88-B63C-4F4F-8B5D-47299752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6" w:lineRule="auto"/>
      <w:ind w:left="320" w:right="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3</cp:revision>
  <dcterms:created xsi:type="dcterms:W3CDTF">2022-02-10T13:38:00Z</dcterms:created>
  <dcterms:modified xsi:type="dcterms:W3CDTF">2022-03-01T10:36:00Z</dcterms:modified>
</cp:coreProperties>
</file>