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1A60" w14:textId="279F0068" w:rsidR="00863F8F" w:rsidRPr="00863F8F" w:rsidRDefault="00863F8F" w:rsidP="00863F8F">
      <w:pPr>
        <w:jc w:val="center"/>
        <w:rPr>
          <w:rFonts w:ascii="Times New Roman" w:hAnsi="Times New Roman" w:cs="Times New Roman"/>
          <w:b/>
          <w:bCs/>
          <w:sz w:val="28"/>
          <w:szCs w:val="28"/>
        </w:rPr>
      </w:pPr>
      <w:r w:rsidRPr="00863F8F">
        <w:rPr>
          <w:rFonts w:ascii="Times New Roman" w:hAnsi="Times New Roman" w:cs="Times New Roman"/>
          <w:b/>
          <w:bCs/>
          <w:sz w:val="28"/>
          <w:szCs w:val="28"/>
        </w:rPr>
        <w:t>Предметно-пространственная среда ДОО, доступная всем воспитанникам ДОО (без учета выделенных групповых пространств)</w:t>
      </w:r>
    </w:p>
    <w:p w14:paraId="03CE43AB" w14:textId="72C5DCFF"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Минобрнауки от 17.10.2013г. №1155.</w:t>
      </w:r>
    </w:p>
    <w:p w14:paraId="1B06A534" w14:textId="77777777" w:rsidR="00863F8F" w:rsidRPr="00863F8F" w:rsidRDefault="00863F8F" w:rsidP="00863F8F">
      <w:pPr>
        <w:jc w:val="both"/>
        <w:rPr>
          <w:rFonts w:ascii="Times New Roman" w:hAnsi="Times New Roman" w:cs="Times New Roman"/>
          <w:sz w:val="28"/>
          <w:szCs w:val="28"/>
        </w:rPr>
      </w:pPr>
    </w:p>
    <w:p w14:paraId="3B5CABE0" w14:textId="19DF696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14:paraId="6D3A89FD"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14:paraId="79CC9209" w14:textId="77777777" w:rsidR="00863F8F" w:rsidRPr="00863F8F" w:rsidRDefault="00863F8F" w:rsidP="00863F8F">
      <w:pPr>
        <w:jc w:val="both"/>
        <w:rPr>
          <w:rFonts w:ascii="Times New Roman" w:hAnsi="Times New Roman" w:cs="Times New Roman"/>
          <w:sz w:val="28"/>
          <w:szCs w:val="28"/>
        </w:rPr>
      </w:pPr>
    </w:p>
    <w:p w14:paraId="380B6F76"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14:paraId="29BFD603" w14:textId="77777777" w:rsidR="00863F8F" w:rsidRPr="00863F8F" w:rsidRDefault="00863F8F" w:rsidP="00863F8F">
      <w:pPr>
        <w:jc w:val="both"/>
        <w:rPr>
          <w:rFonts w:ascii="Times New Roman" w:hAnsi="Times New Roman" w:cs="Times New Roman"/>
          <w:sz w:val="28"/>
          <w:szCs w:val="28"/>
        </w:rPr>
      </w:pPr>
    </w:p>
    <w:p w14:paraId="7AD03F4B" w14:textId="2ADB632B"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Анализ развивающей предметно-пространственной среды опирается на следующие нормативно–правовые документы:</w:t>
      </w:r>
    </w:p>
    <w:p w14:paraId="22191EBA"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Приказ от 17 октября 2013г № 1155 «Об утверждении Федерального образовательного стандарта дошкольного образования»;</w:t>
      </w:r>
    </w:p>
    <w:p w14:paraId="38BC906D"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4FD6AAF"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Учитывались следующие требования:</w:t>
      </w:r>
    </w:p>
    <w:p w14:paraId="78F2812E" w14:textId="77777777" w:rsidR="00863F8F" w:rsidRPr="00863F8F" w:rsidRDefault="00863F8F" w:rsidP="00863F8F">
      <w:pPr>
        <w:jc w:val="both"/>
        <w:rPr>
          <w:rFonts w:ascii="Times New Roman" w:hAnsi="Times New Roman" w:cs="Times New Roman"/>
          <w:sz w:val="28"/>
          <w:szCs w:val="28"/>
        </w:rPr>
      </w:pPr>
    </w:p>
    <w:p w14:paraId="0A52B81A"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lastRenderedPageBreak/>
        <w:t>Обеспечение максимальной реализации образовательного потенциала пространства;</w:t>
      </w:r>
    </w:p>
    <w:p w14:paraId="226D70A0"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Возможность общения и совместной деятельности детей и взрослых, двигательной активности детей, возможность для уединения;</w:t>
      </w:r>
    </w:p>
    <w:p w14:paraId="5B865FEC"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Насыщенность среды, в соответствии с возрастными возможностями детей и содержанию программы;</w:t>
      </w:r>
    </w:p>
    <w:p w14:paraId="4D1ACA9C"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Трансформируемость пространства;</w:t>
      </w:r>
    </w:p>
    <w:p w14:paraId="17DB8F67"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Полифункциональность материалов;</w:t>
      </w:r>
    </w:p>
    <w:p w14:paraId="5D1915E4"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Вариативность среды;</w:t>
      </w:r>
    </w:p>
    <w:p w14:paraId="2669C3DD"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Доступность среды;</w:t>
      </w:r>
    </w:p>
    <w:p w14:paraId="428BCEAD"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Безопасность среды.</w:t>
      </w:r>
    </w:p>
    <w:p w14:paraId="08849114" w14:textId="34F8472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Регулярно в холле  проводятся тематические выставки художественного творчества детей и родителей.</w:t>
      </w:r>
    </w:p>
    <w:p w14:paraId="004F6603" w14:textId="77777777" w:rsidR="00863F8F" w:rsidRPr="00863F8F" w:rsidRDefault="00863F8F" w:rsidP="00863F8F">
      <w:pPr>
        <w:jc w:val="both"/>
        <w:rPr>
          <w:rFonts w:ascii="Times New Roman" w:hAnsi="Times New Roman" w:cs="Times New Roman"/>
          <w:sz w:val="28"/>
          <w:szCs w:val="28"/>
        </w:rPr>
      </w:pPr>
    </w:p>
    <w:p w14:paraId="01093B9D" w14:textId="57D93682"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w:t>
      </w:r>
      <w:r>
        <w:rPr>
          <w:rFonts w:ascii="Times New Roman" w:hAnsi="Times New Roman" w:cs="Times New Roman"/>
          <w:sz w:val="28"/>
          <w:szCs w:val="28"/>
        </w:rPr>
        <w:t>.</w:t>
      </w:r>
      <w:r w:rsidRPr="00863F8F">
        <w:rPr>
          <w:rFonts w:ascii="Times New Roman" w:hAnsi="Times New Roman" w:cs="Times New Roman"/>
          <w:sz w:val="28"/>
          <w:szCs w:val="28"/>
        </w:rPr>
        <w:t xml:space="preserve">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14:paraId="7CE7CFD0" w14:textId="77777777" w:rsidR="00863F8F" w:rsidRPr="00863F8F" w:rsidRDefault="00863F8F" w:rsidP="00863F8F">
      <w:pPr>
        <w:jc w:val="both"/>
        <w:rPr>
          <w:rFonts w:ascii="Times New Roman" w:hAnsi="Times New Roman" w:cs="Times New Roman"/>
          <w:sz w:val="28"/>
          <w:szCs w:val="28"/>
        </w:rPr>
      </w:pPr>
    </w:p>
    <w:p w14:paraId="3088EA39" w14:textId="430D1109"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 xml:space="preserve">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w:t>
      </w:r>
      <w:r w:rsidRPr="00863F8F">
        <w:rPr>
          <w:rFonts w:ascii="Times New Roman" w:hAnsi="Times New Roman" w:cs="Times New Roman"/>
          <w:sz w:val="28"/>
          <w:szCs w:val="28"/>
        </w:rPr>
        <w:lastRenderedPageBreak/>
        <w:t>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14:paraId="0F8E5BAF" w14:textId="77777777"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Все игры и материалы в группе расположены таким образом, что каждый ребенок имеет свободный доступ к ним.</w:t>
      </w:r>
    </w:p>
    <w:p w14:paraId="63600D48" w14:textId="77777777" w:rsidR="00863F8F" w:rsidRPr="00863F8F" w:rsidRDefault="00863F8F" w:rsidP="00863F8F">
      <w:pPr>
        <w:jc w:val="both"/>
        <w:rPr>
          <w:rFonts w:ascii="Times New Roman" w:hAnsi="Times New Roman" w:cs="Times New Roman"/>
          <w:sz w:val="28"/>
          <w:szCs w:val="28"/>
        </w:rPr>
      </w:pPr>
    </w:p>
    <w:p w14:paraId="1B3D2EF0" w14:textId="6753711D"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Предметно-пространственная развивающая образовательная среда:</w:t>
      </w:r>
    </w:p>
    <w:p w14:paraId="14BEAF0E" w14:textId="0727667E"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 xml:space="preserve">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43AF293E" w14:textId="0D93940B" w:rsidR="00863F8F"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140E037C" w14:textId="03E577A9" w:rsidR="009E2228" w:rsidRPr="00863F8F" w:rsidRDefault="00863F8F" w:rsidP="00863F8F">
      <w:pPr>
        <w:jc w:val="both"/>
        <w:rPr>
          <w:rFonts w:ascii="Times New Roman" w:hAnsi="Times New Roman" w:cs="Times New Roman"/>
          <w:sz w:val="28"/>
          <w:szCs w:val="28"/>
        </w:rPr>
      </w:pPr>
      <w:r w:rsidRPr="00863F8F">
        <w:rPr>
          <w:rFonts w:ascii="Times New Roman" w:hAnsi="Times New Roman" w:cs="Times New Roman"/>
          <w:sz w:val="28"/>
          <w:szCs w:val="28"/>
        </w:rPr>
        <w:t xml:space="preserve">-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w:t>
      </w:r>
      <w:r>
        <w:rPr>
          <w:rFonts w:ascii="Times New Roman" w:hAnsi="Times New Roman" w:cs="Times New Roman"/>
          <w:sz w:val="28"/>
          <w:szCs w:val="28"/>
        </w:rPr>
        <w:t>И</w:t>
      </w:r>
      <w:r w:rsidRPr="00863F8F">
        <w:rPr>
          <w:rFonts w:ascii="Times New Roman" w:hAnsi="Times New Roman" w:cs="Times New Roman"/>
          <w:sz w:val="28"/>
          <w:szCs w:val="28"/>
        </w:rPr>
        <w:t>гровая площадка на улице, коридоры</w:t>
      </w:r>
      <w:r>
        <w:rPr>
          <w:rFonts w:ascii="Times New Roman" w:hAnsi="Times New Roman" w:cs="Times New Roman"/>
          <w:sz w:val="28"/>
          <w:szCs w:val="28"/>
        </w:rPr>
        <w:t>, группы.</w:t>
      </w:r>
    </w:p>
    <w:sectPr w:rsidR="009E2228" w:rsidRPr="0086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64"/>
    <w:rsid w:val="00371B82"/>
    <w:rsid w:val="006E5224"/>
    <w:rsid w:val="00863F8F"/>
    <w:rsid w:val="00A7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A781"/>
  <w15:chartTrackingRefBased/>
  <w15:docId w15:val="{7FB0737F-DAFC-4342-87D1-BEC55BA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Загребина</dc:creator>
  <cp:keywords/>
  <dc:description/>
  <cp:lastModifiedBy>Ксения Загребина</cp:lastModifiedBy>
  <cp:revision>3</cp:revision>
  <dcterms:created xsi:type="dcterms:W3CDTF">2022-12-11T20:19:00Z</dcterms:created>
  <dcterms:modified xsi:type="dcterms:W3CDTF">2022-12-11T20:22:00Z</dcterms:modified>
</cp:coreProperties>
</file>