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МИНИСТЕРСТВО ПРОСВЕЩЕНИЯ РОССИЙСКОЙ ФЕДЕРАЦИИ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РАСПОРЯЖЕНИЕ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bookmarkStart w:id="0" w:name="_GoBack"/>
      <w:r>
        <w:rPr>
          <w:rFonts w:ascii="Roboto" w:hAnsi="Roboto"/>
          <w:color w:val="343A40"/>
        </w:rPr>
        <w:t>от 25 декабря 2019 г. N Р-145</w:t>
      </w:r>
    </w:p>
    <w:bookmarkEnd w:id="0"/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 УТВЕРЖДЕНИИ МЕТОДОЛОГИИ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(ЦЕЛЕВОЙ МОДЕЛИ) НАСТАВНИЧЕСТВА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ДЛЯ ОРГАНИЗАЦИЙ, ОСУЩЕСТВЛЯЮЩИХ </w:t>
      </w:r>
      <w:proofErr w:type="gramStart"/>
      <w:r>
        <w:rPr>
          <w:rFonts w:ascii="Roboto" w:hAnsi="Roboto"/>
          <w:color w:val="343A40"/>
        </w:rPr>
        <w:t>ОБРАЗОВАТЕЛЬНУЮ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ДЕЯТЕЛЬНОСТЬ ПО </w:t>
      </w:r>
      <w:proofErr w:type="gramStart"/>
      <w:r>
        <w:rPr>
          <w:rFonts w:ascii="Roboto" w:hAnsi="Roboto"/>
          <w:color w:val="343A40"/>
        </w:rPr>
        <w:t>ОБЩЕОБРАЗОВАТЕЛЬНЫМ</w:t>
      </w:r>
      <w:proofErr w:type="gramEnd"/>
      <w:r>
        <w:rPr>
          <w:rFonts w:ascii="Roboto" w:hAnsi="Roboto"/>
          <w:color w:val="343A40"/>
        </w:rPr>
        <w:t>, ДОПОЛНИТЕЛЬНЫМ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ОБЩЕОБРАЗОВАТЕЛЬНЫМ И ПРОГРАММАМ СРЕДНЕГО ПРОФЕССИОНАЛЬНОГО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ОБРАЗОВАНИЯ, В ТОМ ЧИСЛЕ С ПРИМЕНЕНИЕМ ЛУЧШИХ ПРАКТИК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ОБМЕНА ОПЫТОМ МЕЖДУ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В целях достижения сквозного результата "Разработана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 федеральных проектов "Современная школа" (Е01.01.04), "Успех каждого ребенка" (Е02.02.06) и "Молодые профессионалы (Повышение конкурентоспособности профессионального образования)" (Е06.06.06) национального проекта "Образование":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1. Утвердить методологию (целевую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>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2. Рекомендовать органам исполнительной власти субъектов Российской Федерации, осуществляющим государственное управление в сфере образования, организовать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>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 xml:space="preserve">3. </w:t>
      </w:r>
      <w:proofErr w:type="gramStart"/>
      <w:r>
        <w:rPr>
          <w:rFonts w:ascii="Roboto" w:hAnsi="Roboto"/>
          <w:color w:val="343A40"/>
        </w:rPr>
        <w:t>Контроль за</w:t>
      </w:r>
      <w:proofErr w:type="gramEnd"/>
      <w:r>
        <w:rPr>
          <w:rFonts w:ascii="Roboto" w:hAnsi="Roboto"/>
          <w:color w:val="343A40"/>
        </w:rPr>
        <w:t xml:space="preserve"> исполнением настоящего распоряжения оставляю за собой.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Заместитель Министра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М.Н.РАКОВА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Приложение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Утверждена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распоряжением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Министерства просвещения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Российской Федерации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от 25 декабря 2019 г. N Р-145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МЕТОДОЛОГИЯ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(ЦЕЛЕВАЯ МОДЕЛЬ) НАСТАВНИЧЕСТВА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ДЛЯ ОРГАНИЗАЦИЙ, ОСУЩЕСТВЛЯЮЩИХ </w:t>
      </w:r>
      <w:proofErr w:type="gramStart"/>
      <w:r>
        <w:rPr>
          <w:rFonts w:ascii="Roboto" w:hAnsi="Roboto"/>
          <w:color w:val="343A40"/>
        </w:rPr>
        <w:t>ОБРАЗОВАТЕЛЬНУЮ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ДЕЯТЕЛЬНОСТЬ ПО </w:t>
      </w:r>
      <w:proofErr w:type="gramStart"/>
      <w:r>
        <w:rPr>
          <w:rFonts w:ascii="Roboto" w:hAnsi="Roboto"/>
          <w:color w:val="343A40"/>
        </w:rPr>
        <w:t>ОБЩЕОБРАЗОВАТЕЛЬНЫМ</w:t>
      </w:r>
      <w:proofErr w:type="gramEnd"/>
      <w:r>
        <w:rPr>
          <w:rFonts w:ascii="Roboto" w:hAnsi="Roboto"/>
          <w:color w:val="343A40"/>
        </w:rPr>
        <w:t>, ДОПОЛНИТЕЛЬНЫМ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ОБЩЕОБРАЗОВАТЕЛЬНЫМ И ПРОГРАММАМ СРЕДНЕГО ПРОФЕССИОНАЛЬНОГО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ОБРАЗОВАНИЯ, В ТОМ ЧИСЛЕ С ПРИМЕНЕНИЕМ ЛУЧШИХ ПРАКТИК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ОБМЕНА ОПЫТОМ МЕЖДУ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1. Общие положения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1.1. </w:t>
      </w:r>
      <w:proofErr w:type="gramStart"/>
      <w:r>
        <w:rPr>
          <w:rFonts w:ascii="Roboto" w:hAnsi="Roboto"/>
          <w:color w:val="343A40"/>
        </w:rPr>
        <w:t>Настоящая Целевая модель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(далее - Целевая модель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и регулирует отношения</w:t>
      </w:r>
      <w:proofErr w:type="gramEnd"/>
      <w:r>
        <w:rPr>
          <w:rFonts w:ascii="Roboto" w:hAnsi="Roboto"/>
          <w:color w:val="343A40"/>
        </w:rPr>
        <w:t xml:space="preserve">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</w:t>
      </w:r>
      <w:r>
        <w:rPr>
          <w:rFonts w:ascii="Roboto" w:hAnsi="Roboto"/>
          <w:color w:val="343A40"/>
        </w:rPr>
        <w:lastRenderedPageBreak/>
        <w:t xml:space="preserve">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>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1.2. </w:t>
      </w:r>
      <w:proofErr w:type="gramStart"/>
      <w:r>
        <w:rPr>
          <w:rFonts w:ascii="Roboto" w:hAnsi="Roboto"/>
          <w:color w:val="343A40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1.3. Задачи внедрения целевой модели наставничества: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- образовательные организации) в образовательной, социокультурной, спортивной и других сферах;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>
        <w:rPr>
          <w:rFonts w:ascii="Roboto" w:hAnsi="Roboto"/>
          <w:color w:val="343A40"/>
        </w:rPr>
        <w:t>котором</w:t>
      </w:r>
      <w:proofErr w:type="gramEnd"/>
      <w:r>
        <w:rPr>
          <w:rFonts w:ascii="Roboto" w:hAnsi="Roboto"/>
          <w:color w:val="343A40"/>
        </w:rPr>
        <w:t xml:space="preserve"> выстроены доверительные и партнерские отношения.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1.4. Целевая модель наставничества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1.5. Внедрение целевой модели наставничества осуществляется субъектами Российской Федерации на основе методических рекомендаций Ведомственного проектного офиса национального проекта "Образование" (далее - ведомственный проектный офис).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1.6. 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2. Термины и определения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rFonts w:ascii="Roboto" w:hAnsi="Roboto"/>
          <w:color w:val="343A40"/>
        </w:rPr>
        <w:t>метакомпетенций</w:t>
      </w:r>
      <w:proofErr w:type="spellEnd"/>
      <w:r>
        <w:rPr>
          <w:rFonts w:ascii="Roboto" w:hAnsi="Roboto"/>
          <w:color w:val="343A40"/>
        </w:rPr>
        <w:t xml:space="preserve"> и ценностей через неформальное </w:t>
      </w:r>
      <w:proofErr w:type="spellStart"/>
      <w:r>
        <w:rPr>
          <w:rFonts w:ascii="Roboto" w:hAnsi="Roboto"/>
          <w:color w:val="343A40"/>
        </w:rPr>
        <w:t>взаимообогащающее</w:t>
      </w:r>
      <w:proofErr w:type="spellEnd"/>
      <w:r>
        <w:rPr>
          <w:rFonts w:ascii="Roboto" w:hAnsi="Roboto"/>
          <w:color w:val="343A40"/>
        </w:rPr>
        <w:t xml:space="preserve"> общение, основанное на доверии и партнерстве.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rPr>
          <w:rFonts w:ascii="Roboto" w:hAnsi="Roboto"/>
          <w:color w:val="343A40"/>
        </w:rPr>
        <w:t>наставляемый</w:t>
      </w:r>
      <w:proofErr w:type="gramEnd"/>
      <w:r>
        <w:rPr>
          <w:rFonts w:ascii="Roboto" w:hAnsi="Roboto"/>
          <w:color w:val="343A40"/>
        </w:rPr>
        <w:t xml:space="preserve"> может быть определен термином "обучающийся".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spellStart"/>
      <w:r>
        <w:rPr>
          <w:rFonts w:ascii="Roboto" w:hAnsi="Roboto"/>
          <w:color w:val="343A40"/>
        </w:rPr>
        <w:t>Буллинг</w:t>
      </w:r>
      <w:proofErr w:type="spellEnd"/>
      <w:r>
        <w:rPr>
          <w:rFonts w:ascii="Roboto" w:hAnsi="Roboto"/>
          <w:color w:val="343A40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rPr>
          <w:rFonts w:ascii="Roboto" w:hAnsi="Roboto"/>
          <w:color w:val="343A40"/>
        </w:rPr>
        <w:t>буллинга</w:t>
      </w:r>
      <w:proofErr w:type="spellEnd"/>
      <w:r>
        <w:rPr>
          <w:rFonts w:ascii="Roboto" w:hAnsi="Roboto"/>
          <w:color w:val="343A40"/>
        </w:rPr>
        <w:t xml:space="preserve"> - </w:t>
      </w:r>
      <w:proofErr w:type="spellStart"/>
      <w:r>
        <w:rPr>
          <w:rFonts w:ascii="Roboto" w:hAnsi="Roboto"/>
          <w:color w:val="343A40"/>
        </w:rPr>
        <w:t>кибербуллинг</w:t>
      </w:r>
      <w:proofErr w:type="spellEnd"/>
      <w:r>
        <w:rPr>
          <w:rFonts w:ascii="Roboto" w:hAnsi="Roboto"/>
          <w:color w:val="343A40"/>
        </w:rPr>
        <w:t>, травля в социальных сетях.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spellStart"/>
      <w:r>
        <w:rPr>
          <w:rFonts w:ascii="Roboto" w:hAnsi="Roboto"/>
          <w:color w:val="343A40"/>
        </w:rPr>
        <w:t>Метакомпетенции</w:t>
      </w:r>
      <w:proofErr w:type="spellEnd"/>
      <w:r>
        <w:rPr>
          <w:rFonts w:ascii="Roboto" w:hAnsi="Roboto"/>
          <w:color w:val="343A40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spellStart"/>
      <w:r>
        <w:rPr>
          <w:rFonts w:ascii="Roboto" w:hAnsi="Roboto"/>
          <w:color w:val="343A40"/>
        </w:rPr>
        <w:t>Тьютор</w:t>
      </w:r>
      <w:proofErr w:type="spellEnd"/>
      <w:r>
        <w:rPr>
          <w:rFonts w:ascii="Roboto" w:hAnsi="Roboto"/>
          <w:color w:val="343A40"/>
        </w:rPr>
        <w:t xml:space="preserve"> - специалист в области педагогики, который помогает </w:t>
      </w:r>
      <w:proofErr w:type="gramStart"/>
      <w:r>
        <w:rPr>
          <w:rFonts w:ascii="Roboto" w:hAnsi="Roboto"/>
          <w:color w:val="343A40"/>
        </w:rPr>
        <w:t>обучающемуся</w:t>
      </w:r>
      <w:proofErr w:type="gramEnd"/>
      <w:r>
        <w:rPr>
          <w:rFonts w:ascii="Roboto" w:hAnsi="Roboto"/>
          <w:color w:val="343A40"/>
        </w:rPr>
        <w:t xml:space="preserve"> определиться с индивидуальным образовательным маршрутом.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Roboto" w:hAnsi="Roboto"/>
          <w:color w:val="343A40"/>
        </w:rPr>
        <w:t>эндаумент</w:t>
      </w:r>
      <w:proofErr w:type="spellEnd"/>
      <w:r>
        <w:rPr>
          <w:rFonts w:ascii="Roboto" w:hAnsi="Roboto"/>
          <w:color w:val="343A40"/>
        </w:rPr>
        <w:t>, организует стажировки и т.д.).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spellStart"/>
      <w:r>
        <w:rPr>
          <w:rFonts w:ascii="Roboto" w:hAnsi="Roboto"/>
          <w:color w:val="343A40"/>
        </w:rPr>
        <w:lastRenderedPageBreak/>
        <w:t>Эндаумент</w:t>
      </w:r>
      <w:proofErr w:type="spellEnd"/>
      <w:r>
        <w:rPr>
          <w:rFonts w:ascii="Roboto" w:hAnsi="Roboto"/>
          <w:color w:val="343A40"/>
        </w:rPr>
        <w:t xml:space="preserve">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3. Ожидаемые результаты внедрения целевой модели наставничества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3.1. Планируемые результаты внедрения целевой модели наставничества: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измеримое улучшение показателей обучающихся в образовательной, культурной, спортивной и других сферах;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рост числа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, прошедших </w:t>
      </w:r>
      <w:proofErr w:type="spellStart"/>
      <w:r>
        <w:rPr>
          <w:rFonts w:ascii="Roboto" w:hAnsi="Roboto"/>
          <w:color w:val="343A40"/>
        </w:rPr>
        <w:t>профориентационные</w:t>
      </w:r>
      <w:proofErr w:type="spellEnd"/>
      <w:r>
        <w:rPr>
          <w:rFonts w:ascii="Roboto" w:hAnsi="Roboto"/>
          <w:color w:val="343A40"/>
        </w:rPr>
        <w:t xml:space="preserve"> мероприятия;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практическая реализация концепции построения индивидуальных образовательных траекторий;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>
        <w:rPr>
          <w:rFonts w:ascii="Roboto" w:hAnsi="Roboto"/>
          <w:color w:val="343A40"/>
        </w:rPr>
        <w:t>метакомпетенций</w:t>
      </w:r>
      <w:proofErr w:type="spellEnd"/>
      <w:r>
        <w:rPr>
          <w:rFonts w:ascii="Roboto" w:hAnsi="Roboto"/>
          <w:color w:val="343A40"/>
        </w:rPr>
        <w:t>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>
        <w:rPr>
          <w:rFonts w:ascii="Roboto" w:hAnsi="Roboto"/>
          <w:color w:val="343A40"/>
        </w:rPr>
        <w:t>эндаумента</w:t>
      </w:r>
      <w:proofErr w:type="spellEnd"/>
      <w:r>
        <w:rPr>
          <w:rFonts w:ascii="Roboto" w:hAnsi="Roboto"/>
          <w:color w:val="343A40"/>
        </w:rPr>
        <w:t xml:space="preserve"> и сообщества благодарных выпускников.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3.2. Внедрение целевой модели наставничества может </w:t>
      </w:r>
      <w:proofErr w:type="gramStart"/>
      <w:r>
        <w:rPr>
          <w:rFonts w:ascii="Roboto" w:hAnsi="Roboto"/>
          <w:color w:val="343A40"/>
        </w:rPr>
        <w:t>повлиять</w:t>
      </w:r>
      <w:proofErr w:type="gramEnd"/>
      <w:r>
        <w:rPr>
          <w:rFonts w:ascii="Roboto" w:hAnsi="Roboto"/>
          <w:color w:val="343A40"/>
        </w:rPr>
        <w:t xml:space="preserve"> в том числе на решение следующих проблем обучающегося общеобразовательной организации: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низкую мотивацию к учебе и саморазвитию, неудовлетворительную успеваемость;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невозможность качественной самореализации в рамках школьной программы;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отсутствие условий для формирования активной гражданской позиции;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низкую информированность о перспективах самостоятельного выбора векторов творческого развития, карьерных и иных возможностей;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кризис самоидентификации, разрушение или низкий уровень </w:t>
      </w:r>
      <w:proofErr w:type="spellStart"/>
      <w:r>
        <w:rPr>
          <w:rFonts w:ascii="Roboto" w:hAnsi="Roboto"/>
          <w:color w:val="343A40"/>
        </w:rPr>
        <w:t>сформированности</w:t>
      </w:r>
      <w:proofErr w:type="spellEnd"/>
      <w:r>
        <w:rPr>
          <w:rFonts w:ascii="Roboto" w:hAnsi="Roboto"/>
          <w:color w:val="343A40"/>
        </w:rPr>
        <w:t xml:space="preserve"> ценностных и жизненных позиций и ориентиров;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отсутствие условий для формирования </w:t>
      </w:r>
      <w:proofErr w:type="spellStart"/>
      <w:r>
        <w:rPr>
          <w:rFonts w:ascii="Roboto" w:hAnsi="Roboto"/>
          <w:color w:val="343A40"/>
        </w:rPr>
        <w:t>метапредметных</w:t>
      </w:r>
      <w:proofErr w:type="spellEnd"/>
      <w:r>
        <w:rPr>
          <w:rFonts w:ascii="Roboto" w:hAnsi="Roboto"/>
          <w:color w:val="343A40"/>
        </w:rPr>
        <w:t xml:space="preserve"> навыков и </w:t>
      </w:r>
      <w:proofErr w:type="spellStart"/>
      <w:r>
        <w:rPr>
          <w:rFonts w:ascii="Roboto" w:hAnsi="Roboto"/>
          <w:color w:val="343A40"/>
        </w:rPr>
        <w:t>метакомпетенций</w:t>
      </w:r>
      <w:proofErr w:type="spellEnd"/>
      <w:r>
        <w:rPr>
          <w:rFonts w:ascii="Roboto" w:hAnsi="Roboto"/>
          <w:color w:val="343A40"/>
        </w:rPr>
        <w:t>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высокий порог вхождения в образовательные программы, программы развития </w:t>
      </w:r>
      <w:proofErr w:type="gramStart"/>
      <w:r>
        <w:rPr>
          <w:rFonts w:ascii="Roboto" w:hAnsi="Roboto"/>
          <w:color w:val="343A40"/>
        </w:rPr>
        <w:t>талантливых</w:t>
      </w:r>
      <w:proofErr w:type="gramEnd"/>
      <w:r>
        <w:rPr>
          <w:rFonts w:ascii="Roboto" w:hAnsi="Roboto"/>
          <w:color w:val="343A40"/>
        </w:rPr>
        <w:t xml:space="preserve"> обучающихся;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проблемы адаптации в (новом) учебном коллективе: психологические, организационные и социальные.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3.3. Внедрение целевой модели наставничества может </w:t>
      </w:r>
      <w:proofErr w:type="gramStart"/>
      <w:r>
        <w:rPr>
          <w:rFonts w:ascii="Roboto" w:hAnsi="Roboto"/>
          <w:color w:val="343A40"/>
        </w:rPr>
        <w:t>повлиять</w:t>
      </w:r>
      <w:proofErr w:type="gramEnd"/>
      <w:r>
        <w:rPr>
          <w:rFonts w:ascii="Roboto" w:hAnsi="Roboto"/>
          <w:color w:val="343A40"/>
        </w:rPr>
        <w:t xml:space="preserve"> в том числе на решение следующих проблем обучающегося профессиональной образовательной организации (далее - студента):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низкую мотивацию к учебе, неудовлетворительные образовательные результаты, дисциплинарные затруднения;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низкую информированность о карьерных и образовательных возможностях, отсутствие осознанного выбора пути будущего профессионального развития;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трудности, связанные с невозможностью эффективно совмещать получение образования и рабочую деятельность по специальности;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 xml:space="preserve">низкий уровень общей культуры, неразвитость </w:t>
      </w:r>
      <w:proofErr w:type="spellStart"/>
      <w:r>
        <w:rPr>
          <w:rFonts w:ascii="Roboto" w:hAnsi="Roboto"/>
          <w:color w:val="343A40"/>
        </w:rPr>
        <w:t>метакомпетенций</w:t>
      </w:r>
      <w:proofErr w:type="spellEnd"/>
      <w:r>
        <w:rPr>
          <w:rFonts w:ascii="Roboto" w:hAnsi="Roboto"/>
          <w:color w:val="343A40"/>
        </w:rPr>
        <w:t>, отсутствие или неразвитость навыков целеполагания, планирования и самореализации, пессимистичные ожидания от будущего и самого общества;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низкий уровень общепрофессиональных и профессиональных компетенций, как следствие - </w:t>
      </w:r>
      <w:proofErr w:type="spellStart"/>
      <w:r>
        <w:rPr>
          <w:rFonts w:ascii="Roboto" w:hAnsi="Roboto"/>
          <w:color w:val="343A40"/>
        </w:rPr>
        <w:t>невостребованность</w:t>
      </w:r>
      <w:proofErr w:type="spellEnd"/>
      <w:r>
        <w:rPr>
          <w:rFonts w:ascii="Roboto" w:hAnsi="Roboto"/>
          <w:color w:val="343A40"/>
        </w:rPr>
        <w:t xml:space="preserve"> на рынке;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отсутствие мотивации и возможностей для участия в программах поддержки обучающихся и выпускников;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невозможность реализовать свой предпринимательский или профессиональный потенциал в силу отсутствия опыта и ресурсов.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3.4. Внедрение целевой модели наставничества может </w:t>
      </w:r>
      <w:proofErr w:type="gramStart"/>
      <w:r>
        <w:rPr>
          <w:rFonts w:ascii="Roboto" w:hAnsi="Roboto"/>
          <w:color w:val="343A40"/>
        </w:rPr>
        <w:t>повлиять</w:t>
      </w:r>
      <w:proofErr w:type="gramEnd"/>
      <w:r>
        <w:rPr>
          <w:rFonts w:ascii="Roboto" w:hAnsi="Roboto"/>
          <w:color w:val="343A40"/>
        </w:rPr>
        <w:t xml:space="preserve"> в том числе на решение следующих проблем региона: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ценностную дезориентацию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, приводящую как к </w:t>
      </w:r>
      <w:proofErr w:type="spellStart"/>
      <w:r>
        <w:rPr>
          <w:rFonts w:ascii="Roboto" w:hAnsi="Roboto"/>
          <w:color w:val="343A40"/>
        </w:rPr>
        <w:t>девиантному</w:t>
      </w:r>
      <w:proofErr w:type="spellEnd"/>
      <w:r>
        <w:rPr>
          <w:rFonts w:ascii="Roboto" w:hAnsi="Roboto"/>
          <w:color w:val="343A40"/>
        </w:rPr>
        <w:t>, так и к нейтральному в плане гражданской активности поведению;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отсутствие налаженной связи между разными уровнями образования в регионе;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 Структура управления реализацией целевой модели наставничества в деятельности образовательных организаций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4.1. В структуру управления процессом внедрения и реализации целевой модели наставничества в образовательные организации входят: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Региональный наставнический центр - организация (структурное подразделение организации),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общеобразовательные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организации и индивидуальные предприниматели, осуществляющие образовательную деятельность по дополнительным общеобразовательным программам;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промышленные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4.2. </w:t>
      </w:r>
      <w:proofErr w:type="gramStart"/>
      <w:r>
        <w:rPr>
          <w:rFonts w:ascii="Roboto" w:hAnsi="Roboto"/>
          <w:color w:val="343A40"/>
        </w:rPr>
        <w:t xml:space="preserve">Функции Регионального наставнического центра решением органа власти могут быть переданы уже существующей организации (подразделению организации), осуществляющей образовательную деятельность, региональному центру </w:t>
      </w:r>
      <w:proofErr w:type="spellStart"/>
      <w:r>
        <w:rPr>
          <w:rFonts w:ascii="Roboto" w:hAnsi="Roboto"/>
          <w:color w:val="343A40"/>
        </w:rPr>
        <w:t>WorldSkills</w:t>
      </w:r>
      <w:proofErr w:type="spellEnd"/>
      <w:r>
        <w:rPr>
          <w:rFonts w:ascii="Roboto" w:hAnsi="Roboto"/>
          <w:color w:val="343A40"/>
        </w:rPr>
        <w:t>, некоммерческой организации, организациям любой формы собственности, чья деятельность прямо связана с образовательной или воспитательной работой.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4.3. Высшее должностное лицо субъекта Российской Федерации при участии во внедрении целевой модели наставничества на территории соответствующего субъекта Российской Федерации: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принимает решение о внедрении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при необходимости обеспечивает организацию инфраструктуры и материально-техническое обеспечение программ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4.4. Орган исполнительной власти субъекта Российской Федерации, осуществляющий государственное управление в сфере образования, при внедрении целевой модели наставничества на территории соответствующего субъекта Российской Федерации: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осуществляет координацию внедрения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обеспечивает реализацию мероприятий по внедрению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координирует работу Регионального наставнического центра;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обеспечивает развитие материально-технической базы, инфраструктуры и кадрового потенциала организаций, осуществляющих деятельность по реализации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реализует меры по обеспечению доступности программ наставничества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4.5. Задачи Регионального наставнического центра: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выработка предложений по совместному использованию инфраструктуры в целях внедрения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соответствующего субъекта Российской Федерации, а также лучших практик других субъектов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разработка предложений по совершенствованию региональной системы внедрения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содействие привлечению к реализации наставнических программ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сбор </w:t>
      </w:r>
      <w:proofErr w:type="gramStart"/>
      <w:r>
        <w:rPr>
          <w:rFonts w:ascii="Roboto" w:hAnsi="Roboto"/>
          <w:color w:val="343A40"/>
        </w:rPr>
        <w:t>результатов мониторинга реализации программ наставничества</w:t>
      </w:r>
      <w:proofErr w:type="gramEnd"/>
      <w:r>
        <w:rPr>
          <w:rFonts w:ascii="Roboto" w:hAnsi="Roboto"/>
          <w:color w:val="343A40"/>
        </w:rPr>
        <w:t xml:space="preserve"> в образовательных организациях;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4.6. Орган исполнительной власти муниципального образования, осуществляющий управление в сфере образования, при участии во внедрении целевой модели наставничества на территории соответствующего муниципального образования: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согласовывает дорожные карты внедрения целевой модели наставничества, разработанные образовательными организациями, осуществляющими внедрение целевой модели;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контролирует реализацию мероприятий по внедрению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обеспечивает развитие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содействует привлечению к реализации программ наставничества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4.7. Функции образовательных организаций, осуществляющих внедрение целевой модели наставничества: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разработка и реализация мероприятий дорожной карты внедрения целевой модели;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реализация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реализация кадровой политики, в том числе: привлечение, обучение и </w:t>
      </w:r>
      <w:proofErr w:type="gramStart"/>
      <w:r>
        <w:rPr>
          <w:rFonts w:ascii="Roboto" w:hAnsi="Roboto"/>
          <w:color w:val="343A40"/>
        </w:rPr>
        <w:t>контроль за</w:t>
      </w:r>
      <w:proofErr w:type="gramEnd"/>
      <w:r>
        <w:rPr>
          <w:rFonts w:ascii="Roboto" w:hAnsi="Roboto"/>
          <w:color w:val="343A40"/>
        </w:rPr>
        <w:t xml:space="preserve"> деятельностью наставников, принимающих участие в программе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назначение куратора внедрения целевой модели наставничества в образовательной организации;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инфраструктурное и материально-техническое обеспечение реализации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обеспечение формирования баз данных программ наставничества и лучших практик;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4.8. 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 зоне ответственности куратора относятся следующие задачи: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сбор и работа с базой наставников и наставляемых;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организация обучения наставников (в том числе привлечение экспертов для проведения обучения);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контроль процедуры внедрения целевой модели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контроль проведения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участие в оценке вовлеченности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 в различные формы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решение организационных вопросов, возникающих в процессе реализации модели;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 xml:space="preserve">При создании </w:t>
      </w:r>
      <w:proofErr w:type="gramStart"/>
      <w:r>
        <w:rPr>
          <w:rFonts w:ascii="Roboto" w:hAnsi="Roboto"/>
          <w:color w:val="343A40"/>
        </w:rPr>
        <w:t>условий необходимого финансирования куратора программ наставничества</w:t>
      </w:r>
      <w:proofErr w:type="gramEnd"/>
      <w:r>
        <w:rPr>
          <w:rFonts w:ascii="Roboto" w:hAnsi="Roboto"/>
          <w:color w:val="343A40"/>
        </w:rPr>
        <w:t xml:space="preserve">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4.9. Оценка вовлеченности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 в различные формы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</w:t>
      </w:r>
      <w:proofErr w:type="gramStart"/>
      <w:r>
        <w:rPr>
          <w:rFonts w:ascii="Roboto" w:hAnsi="Roboto"/>
          <w:color w:val="343A40"/>
        </w:rPr>
        <w:t>наставляемых</w:t>
      </w:r>
      <w:proofErr w:type="gramEnd"/>
      <w:r>
        <w:rPr>
          <w:rFonts w:ascii="Roboto" w:hAnsi="Roboto"/>
          <w:color w:val="343A40"/>
        </w:rPr>
        <w:t xml:space="preserve"> (примерная форма базы наставляемых представлена в Приложении).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В срок не позднее 20 января года, следующего за </w:t>
      </w:r>
      <w:proofErr w:type="gramStart"/>
      <w:r>
        <w:rPr>
          <w:rFonts w:ascii="Roboto" w:hAnsi="Roboto"/>
          <w:color w:val="343A40"/>
        </w:rPr>
        <w:t>отчетным</w:t>
      </w:r>
      <w:proofErr w:type="gramEnd"/>
      <w:r>
        <w:rPr>
          <w:rFonts w:ascii="Roboto" w:hAnsi="Roboto"/>
          <w:color w:val="343A40"/>
        </w:rPr>
        <w:t>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4.10. Комплект примерных нормативных документов, необходимых для внедрения целевой модели наставничества в субъектах Российской Федерации.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Процесс реализации целевой модели наставничества предполагает разработку ряда документов и издание ряда распорядительных актов.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4.10.1. Распорядительный акт органа исполнительной власти субъекта Российской Федерации, осуществляющего государственное управление в сфере образования, включающий: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основания для внедрения целевой модели наставничества в субъекте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сроки внедрения целевой модели наставничества в субъекте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сроки </w:t>
      </w:r>
      <w:proofErr w:type="gramStart"/>
      <w:r>
        <w:rPr>
          <w:rFonts w:ascii="Roboto" w:hAnsi="Roboto"/>
          <w:color w:val="343A40"/>
        </w:rPr>
        <w:t>проведения мониторинга эффективности программ наставничества</w:t>
      </w:r>
      <w:proofErr w:type="gramEnd"/>
      <w:r>
        <w:rPr>
          <w:rFonts w:ascii="Roboto" w:hAnsi="Roboto"/>
          <w:color w:val="343A40"/>
        </w:rPr>
        <w:t xml:space="preserve"> в субъекте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назначение ответственного должностного лица за внедрение целевой модели наставничества в субъекте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перечень образовательных организаций, внедряющих целевую модель наставничества в субъекте Российской Федерации (Приложение);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планируемые результаты внедрения целевой модели наставничества в субъекте Российской Федерации (Приложение).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4.10.2.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основания для внедрения целевой модели наставничества в образовательной организации;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сроки внедрения целевой модели наставничества в образовательной организации;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назначение </w:t>
      </w:r>
      <w:proofErr w:type="gramStart"/>
      <w:r>
        <w:rPr>
          <w:rFonts w:ascii="Roboto" w:hAnsi="Roboto"/>
          <w:color w:val="343A40"/>
        </w:rPr>
        <w:t>ответственных</w:t>
      </w:r>
      <w:proofErr w:type="gramEnd"/>
      <w:r>
        <w:rPr>
          <w:rFonts w:ascii="Roboto" w:hAnsi="Roboto"/>
          <w:color w:val="343A40"/>
        </w:rPr>
        <w:t xml:space="preserve"> за материально-техническое обеспечение программы наставничества в организации;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сроки </w:t>
      </w:r>
      <w:proofErr w:type="gramStart"/>
      <w:r>
        <w:rPr>
          <w:rFonts w:ascii="Roboto" w:hAnsi="Roboto"/>
          <w:color w:val="343A40"/>
        </w:rPr>
        <w:t>проведения мониторинга эффективности программ наставничества</w:t>
      </w:r>
      <w:proofErr w:type="gramEnd"/>
      <w:r>
        <w:rPr>
          <w:rFonts w:ascii="Roboto" w:hAnsi="Roboto"/>
          <w:color w:val="343A40"/>
        </w:rPr>
        <w:t>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планируемые результаты внедрения целевой модели наставничества в образовательной организации (Приложение);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утверждение положения о программе наставничества в образовательной организации (Приложение);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утверждение дорожной карты внедрения целевой модели наставничества (Приложение).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4.10.3. Положение о программе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Типовое положение о программе наставничества может включать в себя: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описание форм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права, обязанности и задачи наставников, наставляемых, кураторов и законных </w:t>
      </w:r>
      <w:proofErr w:type="gramStart"/>
      <w:r>
        <w:rPr>
          <w:rFonts w:ascii="Roboto" w:hAnsi="Roboto"/>
          <w:color w:val="343A40"/>
        </w:rPr>
        <w:t>представителей</w:t>
      </w:r>
      <w:proofErr w:type="gramEnd"/>
      <w:r>
        <w:rPr>
          <w:rFonts w:ascii="Roboto" w:hAnsi="Roboto"/>
          <w:color w:val="343A40"/>
        </w:rPr>
        <w:t xml:space="preserve"> наставляемых в случае, если участник программы несовершеннолетний;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требования, выдвигаемые к наставникам, изъявляющим желание принять участие в программе;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процедуры отбора и обучения наставников;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процесс формирования пар и групп из наставника и наставляемого (наставляемых);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процесс закрепления наставнических пар;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формы и сроки отчетности наставника и куратора о процессе реализации программы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формы и условия поощрения наставника;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критерии эффективности работы наставника;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условия публикации результатов программы наставничества на сайте образовательной организации и организаций-партнеров;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4.10.4. Дорожная карта внедрения целевой модели наставничества включает в себя следующую информацию (примерная форма дорожной карты представлена в Приложении):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сроки реализации этапов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мероприятия по информированию педагогического и родительского сообществ о проводимых мероприятиях по реализации программ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мероприятия по привлечению наставников к реализации программ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5. Механизмы мотивации и поощрения наставников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5.1. К числу лучших мотивирующих наставника факторов можно отнести поддержку системы наставничества на общественном, муниципальном и государственном </w:t>
      </w:r>
      <w:proofErr w:type="gramStart"/>
      <w:r>
        <w:rPr>
          <w:rFonts w:ascii="Roboto" w:hAnsi="Roboto"/>
          <w:color w:val="343A40"/>
        </w:rPr>
        <w:t>уровнях</w:t>
      </w:r>
      <w:proofErr w:type="gramEnd"/>
      <w:r>
        <w:rPr>
          <w:rFonts w:ascii="Roboto" w:hAnsi="Roboto"/>
          <w:color w:val="343A40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т.п.; рассказывать о преимуществах роли наставника: возможностях личностного и социального роста, получения новых знаний и навыков.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5.2. В целях популяризации роли наставника можно рекомендовать следующие меры: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организацию и проведение фестивалей, форумов, конференций наставников на муниципальном, региональном и федеральном уровнях;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конкурсов профессионального мастерства "Наставник года", "Лучшая пара "Наставник+" и т.д.;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поддержку системы наставничества через СМИ, создание специальной рубрики в социальных сетях или интернет-издании, например, "Наши наставники":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т.д.);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участие руководителей всех уровней в программах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организацию сообще</w:t>
      </w:r>
      <w:proofErr w:type="gramStart"/>
      <w:r>
        <w:rPr>
          <w:rFonts w:ascii="Roboto" w:hAnsi="Roboto"/>
          <w:color w:val="343A40"/>
        </w:rPr>
        <w:t>ств дл</w:t>
      </w:r>
      <w:proofErr w:type="gramEnd"/>
      <w:r>
        <w:rPr>
          <w:rFonts w:ascii="Roboto" w:hAnsi="Roboto"/>
          <w:color w:val="343A40"/>
        </w:rPr>
        <w:t>я наставников с возможностью быстрого оповещения о новых интересных проектах, мероприятиях, разработках и т.д.;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фотосессий с выпуском открыток, плакатов, календарей, постеров "Наши наставники", которые распространяются среди образовательных организаций, компаний, учреждений социальной сферы и т.д.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повышение их авторитета в коллективе будет способствовать расширению пула наставников.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5.3. Возможные нематериальные (моральные) формы поощрений наставников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Федерации; наставник, признанный лучшим, может быть награжден (удостоен):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почетной грамотой;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почетного звания "Лучший наставник";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нагрудным знаком наставника;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иные.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Также могут </w:t>
      </w:r>
      <w:proofErr w:type="gramStart"/>
      <w:r>
        <w:rPr>
          <w:rFonts w:ascii="Roboto" w:hAnsi="Roboto"/>
          <w:color w:val="343A40"/>
        </w:rPr>
        <w:t>применятся</w:t>
      </w:r>
      <w:proofErr w:type="gramEnd"/>
      <w:r>
        <w:rPr>
          <w:rFonts w:ascii="Roboto" w:hAnsi="Roboto"/>
          <w:color w:val="343A40"/>
        </w:rPr>
        <w:t xml:space="preserve"> в целях поощрения: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благодарственные письма родителям наставников из числа обучающихся;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размещение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предоставление наставникам возможности принимать участие в формировании предложений, касающихся развития организации; рекомендации при трудоустройстве;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нематериальное поощрение на рабочем месте: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получение дополнительных дней к отпуску;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расширенная медицинская страховка;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иные льготы и преимущества, предусмотренные в организации, в которой работает наставник.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5.4.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Основными элементами иерархической системы являются: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достижения: визуальное (материальное) выражение результата (медаль, поощрение, 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глобальное значение: мотивацию наставников увеличивает вера в успех программы наставничества, в создание новой и масштабной системы;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рейтинги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5.5. 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6. Мониторинг и оценка результатов реализации программы наставничества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Мониторинг программы наставничества состоит из двух основных этапов: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1) оценка </w:t>
      </w:r>
      <w:proofErr w:type="gramStart"/>
      <w:r>
        <w:rPr>
          <w:rFonts w:ascii="Roboto" w:hAnsi="Roboto"/>
          <w:color w:val="343A40"/>
        </w:rPr>
        <w:t>качества процесса реализации программы наставничества</w:t>
      </w:r>
      <w:proofErr w:type="gramEnd"/>
      <w:r>
        <w:rPr>
          <w:rFonts w:ascii="Roboto" w:hAnsi="Roboto"/>
          <w:color w:val="343A40"/>
        </w:rPr>
        <w:t>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2) оценка мотивационно-личностного, </w:t>
      </w:r>
      <w:proofErr w:type="spellStart"/>
      <w:r>
        <w:rPr>
          <w:rFonts w:ascii="Roboto" w:hAnsi="Roboto"/>
          <w:color w:val="343A40"/>
        </w:rPr>
        <w:t>компетентностного</w:t>
      </w:r>
      <w:proofErr w:type="spellEnd"/>
      <w:r>
        <w:rPr>
          <w:rFonts w:ascii="Roboto" w:hAnsi="Roboto"/>
          <w:color w:val="343A40"/>
        </w:rPr>
        <w:t>, профессионального роста участников, динамика образовательных результатов.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6.2. Этап 1. Мониторинг и оценка </w:t>
      </w:r>
      <w:proofErr w:type="gramStart"/>
      <w:r>
        <w:rPr>
          <w:rFonts w:ascii="Roboto" w:hAnsi="Roboto"/>
          <w:color w:val="343A40"/>
        </w:rPr>
        <w:t>качества процесса реализации программы наставничества</w:t>
      </w:r>
      <w:proofErr w:type="gramEnd"/>
      <w:r>
        <w:rPr>
          <w:rFonts w:ascii="Roboto" w:hAnsi="Roboto"/>
          <w:color w:val="343A40"/>
        </w:rPr>
        <w:t>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- наставляемый". Мониторинг </w:t>
      </w:r>
      <w:proofErr w:type="gramStart"/>
      <w:r>
        <w:rPr>
          <w:rFonts w:ascii="Roboto" w:hAnsi="Roboto"/>
          <w:color w:val="343A40"/>
        </w:rPr>
        <w:t>помогает</w:t>
      </w:r>
      <w:proofErr w:type="gramEnd"/>
      <w:r>
        <w:rPr>
          <w:rFonts w:ascii="Roboto" w:hAnsi="Roboto"/>
          <w:color w:val="343A40"/>
        </w:rPr>
        <w:t xml:space="preserve">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Мониторинг процесса реализации программ наставничества направлен на две ключевые цели: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1) оценка качества реализуемой программы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 xml:space="preserve">Среди задач, решаемых с помощью мониторинга, можно выделить сбор и анализ обратной связи от участников и кураторов (метод анкетирования), обоснование требований к процессу реализации программы наставничества, к личности наставника; контроль хода </w:t>
      </w:r>
      <w:r>
        <w:rPr>
          <w:rFonts w:ascii="Roboto" w:hAnsi="Roboto"/>
          <w:color w:val="343A40"/>
        </w:rPr>
        <w:lastRenderedPageBreak/>
        <w:t>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 контроль показателей социального и профессионального благополучия;</w:t>
      </w:r>
      <w:proofErr w:type="gramEnd"/>
      <w:r>
        <w:rPr>
          <w:rFonts w:ascii="Roboto" w:hAnsi="Roboto"/>
          <w:color w:val="343A40"/>
        </w:rPr>
        <w:t xml:space="preserve"> анализ динамики качественных и количественных изменений отслеживаемых показателей.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 результатам опроса в рамках первого этапа мониторинга будет предоставлен SWOT-анализ (таблица 1) реализуемой программы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Таблица 1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Факторы SWOT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Позитивные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Негативные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Внутренние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Сильные стороны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Слабые стороны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Внешние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Возможности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Угрозы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Сбор данных для построения SWOT-анализа осуществляется посредством анкеты (Раздел 2.3 Приложения 2 к методическим рекомендациям ведомственного проектного офиса по внедрению целевой модели наставничества). Анкета содержит открытые вопросы, закрытые вопросы, вопросы с оценочным параметром. Анкета учитывает особенности требований ко всем пяти формам наставничества и является уникальной для каждой формы.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SWOT-анализ рекомендуется проводить куратору программы.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Для оценки </w:t>
      </w:r>
      <w:proofErr w:type="gramStart"/>
      <w:r>
        <w:rPr>
          <w:rFonts w:ascii="Roboto" w:hAnsi="Roboto"/>
          <w:color w:val="343A40"/>
        </w:rPr>
        <w:t>соответствия условий организации программы наставничества</w:t>
      </w:r>
      <w:proofErr w:type="gramEnd"/>
      <w:r>
        <w:rPr>
          <w:rFonts w:ascii="Roboto" w:hAnsi="Roboto"/>
          <w:color w:val="343A40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 </w:t>
      </w:r>
      <w:r>
        <w:rPr>
          <w:rFonts w:ascii="Roboto" w:hAnsi="Roboto"/>
          <w:color w:val="343A40"/>
        </w:rPr>
        <w:lastRenderedPageBreak/>
        <w:t>(Раздел 2.4 Приложения 2 к методическим рекомендациям ведомственного проектного офиса по внедрению целевой модели наставничества).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Среди оцениваемых параметров: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сильные и слабые стороны программы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возможности программы наставничества и угрозы ее реализации;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процент посещения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 xml:space="preserve"> творческих кружков, спортивных секций и внеурочных объединений;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процент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, прошедших профессиональные и </w:t>
      </w:r>
      <w:proofErr w:type="spellStart"/>
      <w:r>
        <w:rPr>
          <w:rFonts w:ascii="Roboto" w:hAnsi="Roboto"/>
          <w:color w:val="343A40"/>
        </w:rPr>
        <w:t>компетентностные</w:t>
      </w:r>
      <w:proofErr w:type="spellEnd"/>
      <w:r>
        <w:rPr>
          <w:rFonts w:ascii="Roboto" w:hAnsi="Roboto"/>
          <w:color w:val="343A40"/>
        </w:rPr>
        <w:t xml:space="preserve"> тесты;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6.3. Этап 2. Мониторинг и оценка влияния программ на всех участников.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Второй этап мониторинга позволяет оценить: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мотивационно-личностный и профессиональный рост участников программы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развитие </w:t>
      </w:r>
      <w:proofErr w:type="spellStart"/>
      <w:r>
        <w:rPr>
          <w:rFonts w:ascii="Roboto" w:hAnsi="Roboto"/>
          <w:color w:val="343A40"/>
        </w:rPr>
        <w:t>метапредметных</w:t>
      </w:r>
      <w:proofErr w:type="spellEnd"/>
      <w:r>
        <w:rPr>
          <w:rFonts w:ascii="Roboto" w:hAnsi="Roboto"/>
          <w:color w:val="343A40"/>
        </w:rPr>
        <w:t xml:space="preserve"> навыков и уровня </w:t>
      </w:r>
      <w:proofErr w:type="gramStart"/>
      <w:r>
        <w:rPr>
          <w:rFonts w:ascii="Roboto" w:hAnsi="Roboto"/>
          <w:color w:val="343A40"/>
        </w:rPr>
        <w:t>вовлеченности</w:t>
      </w:r>
      <w:proofErr w:type="gramEnd"/>
      <w:r>
        <w:rPr>
          <w:rFonts w:ascii="Roboto" w:hAnsi="Roboto"/>
          <w:color w:val="343A40"/>
        </w:rPr>
        <w:t xml:space="preserve"> обучающихся в образовательную деятельность;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качество изменений в освоении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 xml:space="preserve"> образовательных программ;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rFonts w:ascii="Roboto" w:hAnsi="Roboto"/>
          <w:color w:val="343A40"/>
        </w:rPr>
        <w:t>подэтапа</w:t>
      </w:r>
      <w:proofErr w:type="spellEnd"/>
      <w:r>
        <w:rPr>
          <w:rFonts w:ascii="Roboto" w:hAnsi="Roboto"/>
          <w:color w:val="343A40"/>
        </w:rPr>
        <w:t>, первый из которых осуществляется до входа в программу наставничества, а второй - по итогам прохождения программы (Разделы 2.1 и 2.2 Приложения 2 к методическим рекомендациям ведомственного проектного офиса по внедрению целевой модели наставничества).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Соответственно, все зависимые от воздействия программы наставничества параметры фиксируются дважды.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Мониторинг влияния программ наставничества на всех участников направлен на три ключевые цели.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1. Глубокая оценка изучаемых личностных характеристик участников программы.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 xml:space="preserve"> образовательных программ).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3. Анализ и необходимая корректировка сформированных стратегий образования пар "наставник - наставляемый".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Среди задач, решаемых на данном этапе мониторинга, можно выделить: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определение условий эффективной программы наставничества;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сравнение характеристик образовательного процесса на "входе" и "выходе" реализуемой программы;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Результатом данного этапа мониторинга являются оценка и динамика: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развития гибких навыков участников программы;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уровня </w:t>
      </w:r>
      <w:proofErr w:type="spellStart"/>
      <w:r>
        <w:rPr>
          <w:rFonts w:ascii="Roboto" w:hAnsi="Roboto"/>
          <w:color w:val="343A40"/>
        </w:rPr>
        <w:t>мотивированности</w:t>
      </w:r>
      <w:proofErr w:type="spellEnd"/>
      <w:r>
        <w:rPr>
          <w:rFonts w:ascii="Roboto" w:hAnsi="Roboto"/>
          <w:color w:val="343A40"/>
        </w:rPr>
        <w:t xml:space="preserve"> и осознанности участников в вопросах саморазвития и профессионального образования;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качества изменений в освоении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 xml:space="preserve"> образовательных программ;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степени включенности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 в образовательные процессы организации;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"наставник - наставляемый".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 xml:space="preserve"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</w:t>
      </w:r>
      <w:r>
        <w:rPr>
          <w:rFonts w:ascii="Roboto" w:hAnsi="Roboto"/>
          <w:color w:val="343A40"/>
        </w:rPr>
        <w:lastRenderedPageBreak/>
        <w:t>программ можно провести с помощью материалов, представленных в разделах 2.5 и 2.6 Приложения 2 к методическим рекомендациям ведомственного проектного офиса по внедрению целевой модели наставничества.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Среди оцениваемых параметров: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вовлеченность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 в образовательную деятельность;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успеваемость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 xml:space="preserve"> по основным предметам;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уровень </w:t>
      </w:r>
      <w:proofErr w:type="spellStart"/>
      <w:r>
        <w:rPr>
          <w:rFonts w:ascii="Roboto" w:hAnsi="Roboto"/>
          <w:color w:val="343A40"/>
        </w:rPr>
        <w:t>сформированности</w:t>
      </w:r>
      <w:proofErr w:type="spellEnd"/>
      <w:r>
        <w:rPr>
          <w:rFonts w:ascii="Roboto" w:hAnsi="Roboto"/>
          <w:color w:val="343A40"/>
        </w:rPr>
        <w:t xml:space="preserve"> гибких навыков;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желание посещения школы (для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>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уровень личностной тревожности (для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>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понимание собственного будущего (для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>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эмоциональное состояние при посещении школы (для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>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желание высокой школьной успеваемости (для </w:t>
      </w:r>
      <w:proofErr w:type="gramStart"/>
      <w:r>
        <w:rPr>
          <w:rFonts w:ascii="Roboto" w:hAnsi="Roboto"/>
          <w:color w:val="343A40"/>
        </w:rPr>
        <w:t>обучающихся</w:t>
      </w:r>
      <w:proofErr w:type="gramEnd"/>
      <w:r>
        <w:rPr>
          <w:rFonts w:ascii="Roboto" w:hAnsi="Roboto"/>
          <w:color w:val="343A40"/>
        </w:rPr>
        <w:t>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уровень профессионального выгорания (для педагогов);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удовлетворенность профессией (для педагогов);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психологический климат в педагогическом коллективе (для педагогов);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успешность (для работодателей);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ожидаемый и реальный уровень включенности (для работодателей);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ожидаемый и реальный процент возможных приглашений на стажировку (для работодателей).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7. Показатели эффективности внедрения целевой модели наставничества в субъектах Российской Федерации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Наименование показателя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2020 г.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2024 г.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Доля детей в возрасте от 10 до 19 лет, проживающих в субъекте Российской Федерации, вошедших в программы наставничества в роли наставляемого, %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10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70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(отношение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Доля детей и подростков в возрасте от 15 до 19 лет, проживающих в субъекте Российской Федерации, вошедших в программы наставничества в роли наставника, %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10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Доля учителей - молодых специалистов (с опытом работы от 0 до 3 лет), проживающих в субъекте Российской Федерации, вошедших в программы наставничества в роли наставляемого, %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10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70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предоставив своих наставников, %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30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Уровень удовлетворенности наставляемых участием в программах наставничества, % (опросный)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50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85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Уровень удовлетворенности наставников участием в программах наставничества, % (опросный)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50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85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8. Нормативные основы целевой модели наставничества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8.1. Целевая модель наставничества опирается на нормативные правовые акты Российской Федерации и разработана с целью формирования организационно-методической основы для внедрения в субъектах Российской Федерации и последующего развития механизмов </w:t>
      </w:r>
      <w:proofErr w:type="gramStart"/>
      <w:r>
        <w:rPr>
          <w:rFonts w:ascii="Roboto" w:hAnsi="Roboto"/>
          <w:color w:val="343A40"/>
        </w:rPr>
        <w:t>наставничества</w:t>
      </w:r>
      <w:proofErr w:type="gramEnd"/>
      <w:r>
        <w:rPr>
          <w:rFonts w:ascii="Roboto" w:hAnsi="Roboto"/>
          <w:color w:val="343A40"/>
        </w:rPr>
        <w:t xml:space="preserve"> обучающихся образовательных организаций,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Стратегия развития воспитания в Российской Федерации до 2025 года &lt;1&gt; актуализирует задачу объединения усилий с целью реализации единой государственной политики в области воспитания, определения сущностных характеристик современного воспитательного процесса, обмена инновационным опытом, популяризации лучших практик поддержки и раскрытия потенциала детей и подростков, в том числе посредством привлечения волонтеров-наставников.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--------------------------------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&lt;1&gt; Стратегия развития воспитания в Российской Федерации до 2025 года, утвержденная распоряжением Правительства Российской Федерации от 29 мая 2015 г. N 996-р.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Нормативные правовые основания такой деятельности в Российской Федерации обеспечиваются рядом документов, соответствующих требованиям международных актов, конвенций, в том числе: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Всеобщей Декларацией добровольчества, принятой на XVI Всемирной конференции Международной ассоциации добровольческих усилий (IAVE, Амстердам, январь, 2001 год);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Конвенцией о правах ребенка, одобренной Генеральной Ассамблеей ООН 20 ноября 1989 г., ратифицированной Постановлением ВС СССР от 13 июня 1990 г. N 1559;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Резолюцией Европейского парламента 2011/2088(INI) от 1 декабря 2011 г. "О предотвращении преждевременного оставления школы".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8.2. Целевая модель наставничества реализуется в целях поддержки формирования личности, саморазвития и раскрытия потенциала обучающегося, педагога или молодого специалиста. Один из способов раскрытия потенциала - формирование активной жизненной позиции обучающихся и стремление заниматься добровольческой деятельностью, способствующей самореализации личности. Нормативную правовую базу этой деятельности в нашей стране в разных сферах на федеральном уровне обеспечивают: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Конституция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Гражданский кодекс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Трудовой кодекс Российской Федерации;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Федеральный закон от 11 августа 1995 г. N 135-ФЗ "О благотворительной деятельности и благотворительных организациях";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Федеральный закон от 19 мая 1995 г. N 82-ФЗ "Об общественных объединениях";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Федеральный закон от 12 января 1996 г. N 7-ФЗ "О некоммерческих организациях";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lastRenderedPageBreak/>
        <w:t>Концепция содействия развитию благотворительной деятельности и добровольчества в Российской Федерации на период до 2025 года, утвержденная распоряжением Правительства Российской Федерации от 15 ноября 2019 г. N 2705-р).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8.3. Наставническую деятельность, в том числе в образовательной среде, регламентируют: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г.);</w:t>
      </w:r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proofErr w:type="gramStart"/>
      <w:r>
        <w:rPr>
          <w:rFonts w:ascii="Roboto" w:hAnsi="Roboto"/>
          <w:color w:val="343A40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2403-Р);</w:t>
      </w:r>
      <w:proofErr w:type="gramEnd"/>
    </w:p>
    <w:p w:rsidR="001C2EDB" w:rsidRDefault="001C2EDB" w:rsidP="001C2EDB">
      <w:pPr>
        <w:pStyle w:val="aj"/>
        <w:shd w:val="clear" w:color="auto" w:fill="F8F9FA"/>
        <w:spacing w:line="390" w:lineRule="atLeast"/>
        <w:jc w:val="both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Федеральный закон от 29 декабря 2012 г. N 273-ФЗ "Об образовании в Российской Федерации".</w:t>
      </w:r>
    </w:p>
    <w:p w:rsidR="001C2EDB" w:rsidRDefault="001C2EDB" w:rsidP="001C2EDB">
      <w:pPr>
        <w:pStyle w:val="ar"/>
        <w:shd w:val="clear" w:color="auto" w:fill="F8F9FA"/>
        <w:spacing w:line="390" w:lineRule="atLeast"/>
        <w:jc w:val="righ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Приложение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ПРИМЕРНЫЕ ФОРМЫ ДОКУМЕНТОВ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1. Примерная форма базы </w:t>
      </w:r>
      <w:proofErr w:type="gramStart"/>
      <w:r>
        <w:rPr>
          <w:rFonts w:ascii="Roboto" w:hAnsi="Roboto"/>
          <w:color w:val="343A40"/>
        </w:rPr>
        <w:t>наставляемых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ФИО </w:t>
      </w:r>
      <w:proofErr w:type="gramStart"/>
      <w:r>
        <w:rPr>
          <w:rFonts w:ascii="Roboto" w:hAnsi="Roboto"/>
          <w:color w:val="343A40"/>
        </w:rPr>
        <w:t>наставляемого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Контактные данные для связи (данные представителя)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Год рождения </w:t>
      </w:r>
      <w:proofErr w:type="gramStart"/>
      <w:r>
        <w:rPr>
          <w:rFonts w:ascii="Roboto" w:hAnsi="Roboto"/>
          <w:color w:val="343A40"/>
        </w:rPr>
        <w:t>наставляемого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Основной запрос </w:t>
      </w:r>
      <w:proofErr w:type="gramStart"/>
      <w:r>
        <w:rPr>
          <w:rFonts w:ascii="Roboto" w:hAnsi="Roboto"/>
          <w:color w:val="343A40"/>
        </w:rPr>
        <w:t>наставляемого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Дата вхождения в программу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ФИО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Форма наставничества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Место работы/учебы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Дата завершения программы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Результаты программы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Ссылка на кейс/отзыв </w:t>
      </w:r>
      <w:proofErr w:type="gramStart"/>
      <w:r>
        <w:rPr>
          <w:rFonts w:ascii="Roboto" w:hAnsi="Roboto"/>
          <w:color w:val="343A40"/>
        </w:rPr>
        <w:t>наставляемого</w:t>
      </w:r>
      <w:proofErr w:type="gramEnd"/>
      <w:r>
        <w:rPr>
          <w:rFonts w:ascii="Roboto" w:hAnsi="Roboto"/>
          <w:color w:val="343A40"/>
        </w:rPr>
        <w:t>, размещенные на сайте организации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Отметка о прохождении программы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1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2. Примерная форма базы наставников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ФИО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Контактные данные для связи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Место работы/учебы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Основные компетенции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Важные для программы достижения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Интересы наставника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Желаемый возраст </w:t>
      </w:r>
      <w:proofErr w:type="gramStart"/>
      <w:r>
        <w:rPr>
          <w:rFonts w:ascii="Roboto" w:hAnsi="Roboto"/>
          <w:color w:val="343A40"/>
        </w:rPr>
        <w:t>наставляемых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Ресурс времени на программу наставничества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Дата вхождения в программу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ФИО </w:t>
      </w:r>
      <w:proofErr w:type="gramStart"/>
      <w:r>
        <w:rPr>
          <w:rFonts w:ascii="Roboto" w:hAnsi="Roboto"/>
          <w:color w:val="343A40"/>
        </w:rPr>
        <w:t>наставляемого</w:t>
      </w:r>
      <w:proofErr w:type="gramEnd"/>
      <w:r>
        <w:rPr>
          <w:rFonts w:ascii="Roboto" w:hAnsi="Roboto"/>
          <w:color w:val="343A40"/>
        </w:rPr>
        <w:t xml:space="preserve"> (наставляемых)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Форма наставничества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Место работы/учебы </w:t>
      </w:r>
      <w:proofErr w:type="gramStart"/>
      <w:r>
        <w:rPr>
          <w:rFonts w:ascii="Roboto" w:hAnsi="Roboto"/>
          <w:color w:val="343A40"/>
        </w:rPr>
        <w:t>наставляемого</w:t>
      </w:r>
      <w:proofErr w:type="gramEnd"/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Дата завершения программы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Результаты программы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Ссылка на кейс/отзыв наставника, размещенные на сайте организации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1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2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3. Примерная форма дорожной карты внедрения целевой модели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наставничества в образовательной организации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Мероприятие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Сроки</w:t>
      </w:r>
    </w:p>
    <w:p w:rsidR="001C2EDB" w:rsidRDefault="001C2EDB" w:rsidP="001C2EDB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Ответственные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Информирование педагогического сообщества образовательной организации о реализации программы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Информирование родительского сообщества о планируемой реализации программы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Встреча с </w:t>
      </w:r>
      <w:proofErr w:type="gramStart"/>
      <w:r>
        <w:rPr>
          <w:rFonts w:ascii="Roboto" w:hAnsi="Roboto"/>
          <w:color w:val="343A40"/>
        </w:rPr>
        <w:t>обучающимися</w:t>
      </w:r>
      <w:proofErr w:type="gramEnd"/>
      <w:r>
        <w:rPr>
          <w:rFonts w:ascii="Roboto" w:hAnsi="Roboto"/>
          <w:color w:val="343A40"/>
        </w:rPr>
        <w:t xml:space="preserve"> образовательной организации с информированием о реализуемой программе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Анализ полученных от наставляемых и третьих лиц данных. Формирование базы </w:t>
      </w:r>
      <w:proofErr w:type="gramStart"/>
      <w:r>
        <w:rPr>
          <w:rFonts w:ascii="Roboto" w:hAnsi="Roboto"/>
          <w:color w:val="343A40"/>
        </w:rPr>
        <w:t>наставляемых</w:t>
      </w:r>
      <w:proofErr w:type="gramEnd"/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Выбор форм наставничества, реализуемых в рамках текущей программы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Анализ заполненных анкет потенциальных наставников и сопоставление данных с анкетами наставляемых. Формирование базы наставников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собеседования с наставниками (в некоторых случаях с привлечением психолога)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Поиск экспертов и материалов </w:t>
      </w:r>
      <w:proofErr w:type="gramStart"/>
      <w:r>
        <w:rPr>
          <w:rFonts w:ascii="Roboto" w:hAnsi="Roboto"/>
          <w:color w:val="343A40"/>
        </w:rPr>
        <w:t>для</w:t>
      </w:r>
      <w:proofErr w:type="gramEnd"/>
      <w:r>
        <w:rPr>
          <w:rFonts w:ascii="Roboto" w:hAnsi="Roboto"/>
          <w:color w:val="343A40"/>
        </w:rPr>
        <w:t xml:space="preserve"> </w:t>
      </w:r>
      <w:proofErr w:type="gramStart"/>
      <w:r>
        <w:rPr>
          <w:rFonts w:ascii="Roboto" w:hAnsi="Roboto"/>
          <w:color w:val="343A40"/>
        </w:rPr>
        <w:t>проведение</w:t>
      </w:r>
      <w:proofErr w:type="gramEnd"/>
      <w:r>
        <w:rPr>
          <w:rFonts w:ascii="Roboto" w:hAnsi="Roboto"/>
          <w:color w:val="343A40"/>
        </w:rPr>
        <w:t xml:space="preserve"> обучения наставников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Обучение наставников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Организация групповой встречи наставников и наставляемых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анкетирования на предмет предпочитаемого наставника/наставляемого после завершения групповой встречи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Анализ анкет групповой встречи и соединение наставников и наставляемых в пары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Информирование участников о сложившихся парах/группах. Закрепление пар/групп распоряжением руководителя образовательной организации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первой, организационной, встречи наставника и наставляемого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второй, пробной рабочей, встречи наставника и наставляемого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встречи-планирования рабочего процесса в рамках программы наставничества с наставником и наставляемым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Регулярные встречи наставника и наставляемого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Сроки сбора обратной связи от участников программы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заключительной встречи наставника и наставляемого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групповой заключительной встречи всех пар и групп наставников и наставляемых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Анкетирование участников. Проведение мониторинга личной удовлетворенности участием в программе наставничества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Проведение торжественного мероприятия для подведения итогов программы наставничества и награждения лучших наставников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 xml:space="preserve">Проведение </w:t>
      </w:r>
      <w:proofErr w:type="gramStart"/>
      <w:r>
        <w:rPr>
          <w:rFonts w:ascii="Roboto" w:hAnsi="Roboto"/>
          <w:color w:val="343A40"/>
        </w:rPr>
        <w:t>мониторинга качества реализации программы наставничества</w:t>
      </w:r>
      <w:proofErr w:type="gramEnd"/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lastRenderedPageBreak/>
        <w:t>Оценка участников по заданным параметрам, проведение второго, заключающего этапа мониторинга влияния программ на всех участников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Оформление итогов и процессов совместной работы в рамках программы наставничества в кейсы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</w:r>
    </w:p>
    <w:p w:rsidR="001C2EDB" w:rsidRDefault="001C2EDB" w:rsidP="001C2EDB">
      <w:pPr>
        <w:pStyle w:val="al"/>
        <w:shd w:val="clear" w:color="auto" w:fill="F8F9FA"/>
        <w:spacing w:line="390" w:lineRule="atLeast"/>
        <w:rPr>
          <w:rFonts w:ascii="Roboto" w:hAnsi="Roboto"/>
          <w:color w:val="343A40"/>
        </w:rPr>
      </w:pPr>
      <w:r>
        <w:rPr>
          <w:rFonts w:ascii="Roboto" w:hAnsi="Roboto"/>
          <w:color w:val="343A40"/>
        </w:rPr>
        <w:t>Внесение данных об итогах реализации программы наставничества в базу наставников и базу наставляемых</w:t>
      </w:r>
    </w:p>
    <w:p w:rsidR="00961302" w:rsidRDefault="00961302"/>
    <w:sectPr w:rsidR="0096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BC"/>
    <w:rsid w:val="000B11BC"/>
    <w:rsid w:val="001C2EDB"/>
    <w:rsid w:val="009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">
    <w:name w:val="al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">
    <w:name w:val="al"/>
    <w:basedOn w:val="a"/>
    <w:rsid w:val="001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7824</Words>
  <Characters>44603</Characters>
  <Application>Microsoft Office Word</Application>
  <DocSecurity>0</DocSecurity>
  <Lines>371</Lines>
  <Paragraphs>104</Paragraphs>
  <ScaleCrop>false</ScaleCrop>
  <Company/>
  <LinksUpToDate>false</LinksUpToDate>
  <CharactersWithSpaces>52323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2022-10-20T13:14:00Z</dcterms:created>
  <dcterms:modified xsi:type="dcterms:W3CDTF">2022-10-20T13:15:00Z</dcterms:modified>
</cp:coreProperties>
</file>