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8B" w:rsidRDefault="007A7DE2">
      <w:pPr>
        <w:rPr>
          <w:rFonts w:ascii="Arial" w:hAnsi="Arial" w:cs="Arial"/>
          <w:color w:val="000000"/>
          <w:sz w:val="15"/>
          <w:szCs w:val="15"/>
          <w:shd w:val="clear" w:color="auto" w:fill="EDF0F5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EDF0F5"/>
        </w:rPr>
        <w:t>- Преимущества программ, занявших призовые места в районном конкурсе</w:t>
      </w:r>
    </w:p>
    <w:p w:rsidR="007A7DE2" w:rsidRDefault="007A7DE2">
      <w:pPr>
        <w:rPr>
          <w:rFonts w:ascii="Arial" w:hAnsi="Arial" w:cs="Arial"/>
          <w:color w:val="000000"/>
          <w:sz w:val="15"/>
          <w:szCs w:val="15"/>
          <w:shd w:val="clear" w:color="auto" w:fill="EDF0F5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EDF0F5"/>
        </w:rPr>
        <w:t xml:space="preserve">Чтобы ответить на этот вопрос мне нужно видеть все программы, сразу после подведения итогов я могла ответить на ваш вопрос, прошло много времени. У каждой программы </w:t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EDF0F5"/>
        </w:rPr>
        <w:t>были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EDF0F5"/>
        </w:rPr>
        <w:t xml:space="preserve"> какие либо замечания, Дарья Владимировна обещала все замечания свести в одно и каждому учреждению направить.</w:t>
      </w:r>
    </w:p>
    <w:p w:rsidR="007A7DE2" w:rsidRDefault="007A7DE2">
      <w:pPr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- Почему цели и задачи программы детского оздоровительного лагеря одной организации не могут совпадать с целями программы из другой организации?</w:t>
      </w:r>
    </w:p>
    <w:p w:rsidR="007A7DE2" w:rsidRDefault="007A7DE2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Все образовательные организации имеют отличия: педагогический коллектив, детский коллектив, материально-техническая база, уровень подготовки и знаний у детей, которые включаются в реализацию программы, разные. Поэтому даже, на первый взгляд, одинаковые цели и задачи должны отвечать интересам и возможностям конкретной образовательной организации.</w:t>
      </w:r>
    </w:p>
    <w:sectPr w:rsidR="007A7DE2" w:rsidSect="006D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7DE2"/>
    <w:rsid w:val="006D718B"/>
    <w:rsid w:val="007A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2020-04-23T11:12:00Z</dcterms:created>
  <dcterms:modified xsi:type="dcterms:W3CDTF">2020-04-23T11:20:00Z</dcterms:modified>
</cp:coreProperties>
</file>