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493C" w14:textId="7CD5FE8E" w:rsidR="008C4AC0" w:rsidRPr="0061362D" w:rsidRDefault="00700553" w:rsidP="0061362D">
      <w:pPr>
        <w:tabs>
          <w:tab w:val="right" w:pos="10348"/>
        </w:tabs>
        <w:spacing w:before="480" w:after="0" w:line="280" w:lineRule="exact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61362D" w:rsidRPr="0061362D">
        <w:rPr>
          <w:rFonts w:ascii="Times New Roman" w:hAnsi="Times New Roman" w:cs="Times New Roman"/>
          <w:bCs/>
          <w:sz w:val="28"/>
        </w:rPr>
        <w:t>риложение к письму</w:t>
      </w:r>
      <w:r w:rsidR="0061362D" w:rsidRPr="0061362D">
        <w:rPr>
          <w:rFonts w:ascii="Times New Roman" w:hAnsi="Times New Roman" w:cs="Times New Roman"/>
          <w:bCs/>
          <w:sz w:val="28"/>
        </w:rPr>
        <w:br/>
      </w:r>
    </w:p>
    <w:p w14:paraId="5B7D804D" w14:textId="77777777" w:rsidR="008C4AC0" w:rsidRDefault="008C4AC0" w:rsidP="008C4AC0">
      <w:pPr>
        <w:tabs>
          <w:tab w:val="right" w:pos="10348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C0">
        <w:rPr>
          <w:rFonts w:ascii="Times New Roman" w:hAnsi="Times New Roman" w:cs="Times New Roman"/>
          <w:b/>
          <w:sz w:val="24"/>
          <w:szCs w:val="24"/>
        </w:rPr>
        <w:t>План проведения цикла информационно-методических онлайн-семинаров по вопросам функционирования и деятельности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 w14:paraId="78AFED53" w14:textId="6D5D0D1D" w:rsidR="008C4AC0" w:rsidRPr="008C4AC0" w:rsidRDefault="008C4AC0" w:rsidP="008C4AC0">
      <w:pPr>
        <w:tabs>
          <w:tab w:val="right" w:pos="10348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376"/>
        <w:gridCol w:w="2241"/>
        <w:gridCol w:w="2784"/>
        <w:gridCol w:w="3254"/>
      </w:tblGrid>
      <w:tr w:rsidR="008C4AC0" w:rsidRPr="0096506C" w14:paraId="0F15728C" w14:textId="77777777" w:rsidTr="00FF343F">
        <w:tc>
          <w:tcPr>
            <w:tcW w:w="704" w:type="dxa"/>
          </w:tcPr>
          <w:p w14:paraId="103083D0" w14:textId="77777777"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14:paraId="303D8360" w14:textId="77777777"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544" w:type="dxa"/>
          </w:tcPr>
          <w:p w14:paraId="42E5D849" w14:textId="77777777"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5557" w:type="dxa"/>
          </w:tcPr>
          <w:p w14:paraId="06A73D44" w14:textId="77777777"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Основные вопросы, планируемые к рассмотрению в рамках онлайн-семинара</w:t>
            </w:r>
          </w:p>
        </w:tc>
        <w:tc>
          <w:tcPr>
            <w:tcW w:w="2912" w:type="dxa"/>
          </w:tcPr>
          <w:p w14:paraId="58E61DE3" w14:textId="77777777"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Ссылка для подключения к трансляции</w:t>
            </w:r>
            <w:r>
              <w:rPr>
                <w:rFonts w:ascii="Times New Roman" w:hAnsi="Times New Roman" w:cs="Times New Roman"/>
              </w:rPr>
              <w:br/>
              <w:t xml:space="preserve">(на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96506C">
              <w:rPr>
                <w:rFonts w:ascii="Times New Roman" w:hAnsi="Times New Roman" w:cs="Times New Roman"/>
              </w:rPr>
              <w:t>)</w:t>
            </w:r>
          </w:p>
        </w:tc>
      </w:tr>
      <w:tr w:rsidR="008C4AC0" w:rsidRPr="0096506C" w14:paraId="1C3A121A" w14:textId="77777777" w:rsidTr="00FF343F">
        <w:tc>
          <w:tcPr>
            <w:tcW w:w="704" w:type="dxa"/>
          </w:tcPr>
          <w:p w14:paraId="44D8199C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15B4AB7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6506C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09.00</w:t>
            </w:r>
          </w:p>
        </w:tc>
        <w:tc>
          <w:tcPr>
            <w:tcW w:w="3544" w:type="dxa"/>
          </w:tcPr>
          <w:p w14:paraId="164E2E8B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Национальный проект «Образование»: </w:t>
            </w:r>
            <w:r w:rsidRPr="0096506C">
              <w:rPr>
                <w:rFonts w:ascii="Times New Roman" w:hAnsi="Times New Roman" w:cs="Times New Roman"/>
              </w:rPr>
              <w:br/>
              <w:t>центры «Точка роста» для обеспечения образовательных возможностей обучающихся</w:t>
            </w:r>
          </w:p>
        </w:tc>
        <w:tc>
          <w:tcPr>
            <w:tcW w:w="5557" w:type="dxa"/>
          </w:tcPr>
          <w:p w14:paraId="505C38BA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Основные направления реализации национального проекта «Образование»;</w:t>
            </w:r>
          </w:p>
          <w:p w14:paraId="7CF9142E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Основные цели и задачи создания и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городах;</w:t>
            </w:r>
          </w:p>
          <w:p w14:paraId="7A881607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51C20B58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https://youtu.be/c7GZGBkn5BE</w:t>
            </w:r>
          </w:p>
        </w:tc>
      </w:tr>
      <w:tr w:rsidR="008C4AC0" w:rsidRPr="0096506C" w14:paraId="5C558872" w14:textId="77777777" w:rsidTr="00FF343F">
        <w:tc>
          <w:tcPr>
            <w:tcW w:w="704" w:type="dxa"/>
          </w:tcPr>
          <w:p w14:paraId="7AD52ED5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F7294D8" w14:textId="6074B824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17.02.2022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49C4F8DC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Центры образования «Точка роста»: планирование нормативных и организационных вопросов </w:t>
            </w:r>
          </w:p>
        </w:tc>
        <w:tc>
          <w:tcPr>
            <w:tcW w:w="5557" w:type="dxa"/>
          </w:tcPr>
          <w:p w14:paraId="248BFA52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относящиеся к организации создания и функционирования центров «Точка роста»;</w:t>
            </w:r>
          </w:p>
          <w:p w14:paraId="290EF2EF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Основные локальные акты общеобразовательной организации, регулирующие деятельность центров «Точка роста»;</w:t>
            </w:r>
          </w:p>
          <w:p w14:paraId="3D8A77D1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04236139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https://youtu.be/w-OiIF9sd-0</w:t>
            </w:r>
          </w:p>
        </w:tc>
      </w:tr>
      <w:tr w:rsidR="008C4AC0" w:rsidRPr="0096506C" w14:paraId="741F45A6" w14:textId="77777777" w:rsidTr="00FF343F">
        <w:tc>
          <w:tcPr>
            <w:tcW w:w="704" w:type="dxa"/>
          </w:tcPr>
          <w:p w14:paraId="586054DB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2A42E6D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03.03.2022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6F95CF68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образовательная среда, средства обучения и воспитания</w:t>
            </w:r>
          </w:p>
        </w:tc>
        <w:tc>
          <w:tcPr>
            <w:tcW w:w="5557" w:type="dxa"/>
          </w:tcPr>
          <w:p w14:paraId="6142B162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Используемые в рамках деятельности центров «Точка роста» средства обучения и воспитания, оборудование;</w:t>
            </w:r>
          </w:p>
          <w:p w14:paraId="569BDD09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2. Ключевые подходы к организации образовательной среды в помещениях центров «Точка роста», </w:t>
            </w:r>
            <w:proofErr w:type="spellStart"/>
            <w:r w:rsidRPr="0096506C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96506C">
              <w:rPr>
                <w:rFonts w:ascii="Times New Roman" w:hAnsi="Times New Roman" w:cs="Times New Roman"/>
              </w:rPr>
              <w:t xml:space="preserve"> и позиционирование;</w:t>
            </w:r>
          </w:p>
          <w:p w14:paraId="347B7358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7F04BEF9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https://youtu.be/VTUA_tl4ZiE</w:t>
            </w:r>
          </w:p>
        </w:tc>
      </w:tr>
      <w:tr w:rsidR="008C4AC0" w:rsidRPr="0096506C" w14:paraId="662EF7F7" w14:textId="77777777" w:rsidTr="00FF343F">
        <w:tc>
          <w:tcPr>
            <w:tcW w:w="704" w:type="dxa"/>
          </w:tcPr>
          <w:p w14:paraId="6EBFE06C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2117775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24.03.2022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0320B6D3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Центры образования «Точка роста»: планирование образовательной деятельности, разработки и реализации образовательных программ </w:t>
            </w:r>
          </w:p>
        </w:tc>
        <w:tc>
          <w:tcPr>
            <w:tcW w:w="5557" w:type="dxa"/>
          </w:tcPr>
          <w:p w14:paraId="19125EAC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относящиеся к организации образовательной деятельности по основным и дополнительным общеобразовательным программам (в том числе с применением оборудования центров «Точка роста»);</w:t>
            </w:r>
          </w:p>
          <w:p w14:paraId="70C6B1CB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Планирование деятельности по совершенствованию образовательных программ общеобразовательной организации с учетом ресурсов центров «Точка роста»;</w:t>
            </w:r>
          </w:p>
          <w:p w14:paraId="119FAA44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3553AD5F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https://youtu.be/LNjjZcJFI_k</w:t>
            </w:r>
          </w:p>
        </w:tc>
      </w:tr>
      <w:tr w:rsidR="008C4AC0" w:rsidRPr="0096506C" w14:paraId="4E6A60F1" w14:textId="77777777" w:rsidTr="00FF343F">
        <w:tc>
          <w:tcPr>
            <w:tcW w:w="704" w:type="dxa"/>
          </w:tcPr>
          <w:p w14:paraId="32EBB27F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72B7DF8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07.04.2022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7A8C3FAC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образовательные мероприятия и условия для воспитательной деятельности</w:t>
            </w:r>
          </w:p>
        </w:tc>
        <w:tc>
          <w:tcPr>
            <w:tcW w:w="5557" w:type="dxa"/>
          </w:tcPr>
          <w:p w14:paraId="7173AC9B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помогающие в организации образовательных мероприятий на базе центров «Точка роста» и организации участия в других мероприятиях;</w:t>
            </w:r>
          </w:p>
          <w:p w14:paraId="7DB1B1B6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Ресурсы для организации воспитательной деятельности в общеобразовательных организациях с использованием ресурсов центров «Точка роста»;</w:t>
            </w:r>
          </w:p>
          <w:p w14:paraId="24FB999E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6340F7AC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https://youtu.be/r_i-fn-57-g</w:t>
            </w:r>
          </w:p>
        </w:tc>
      </w:tr>
      <w:tr w:rsidR="008C4AC0" w:rsidRPr="0096506C" w14:paraId="72B245B3" w14:textId="77777777" w:rsidTr="00FF343F">
        <w:tc>
          <w:tcPr>
            <w:tcW w:w="704" w:type="dxa"/>
          </w:tcPr>
          <w:p w14:paraId="6215E71F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7D508DD7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21.04.2022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165E5B6E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планирование показателей функционирования центров «Точка роста» и обеспечение их достижения</w:t>
            </w:r>
          </w:p>
        </w:tc>
        <w:tc>
          <w:tcPr>
            <w:tcW w:w="5557" w:type="dxa"/>
          </w:tcPr>
          <w:p w14:paraId="3CE65B36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Нормативные и методические условия планирования показателей деятельности центров «Точка роста»;</w:t>
            </w:r>
          </w:p>
          <w:p w14:paraId="6C45EEB2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Обеспечение достижения показателей деятельности центров «Точка роста» и мониторинг выполнения показателей;</w:t>
            </w:r>
          </w:p>
          <w:p w14:paraId="51E318D3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103C41BA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https://youtu.be/XWKSEeRv0_k</w:t>
            </w:r>
          </w:p>
        </w:tc>
      </w:tr>
      <w:tr w:rsidR="008C4AC0" w:rsidRPr="0096506C" w14:paraId="0CC547B4" w14:textId="77777777" w:rsidTr="00FF343F">
        <w:tc>
          <w:tcPr>
            <w:tcW w:w="704" w:type="dxa"/>
          </w:tcPr>
          <w:p w14:paraId="3C28C8A8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03A6ACC7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12.05.2022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2C3EF64E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информационное обеспечение деятельности</w:t>
            </w:r>
          </w:p>
        </w:tc>
        <w:tc>
          <w:tcPr>
            <w:tcW w:w="5557" w:type="dxa"/>
          </w:tcPr>
          <w:p w14:paraId="067BE807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Формирование информационной справки об общеобразовательной организации, на базе которой создается центр «Точка роста»;</w:t>
            </w:r>
          </w:p>
          <w:p w14:paraId="5A811847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Обеспечение информационной открытости деятельности общеобразовательной организации в условиях деятельности центров «Точка роста»;</w:t>
            </w:r>
          </w:p>
          <w:p w14:paraId="258D3D6D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367A4C13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https://youtu.be/0N31PBELZbo</w:t>
            </w:r>
          </w:p>
        </w:tc>
      </w:tr>
      <w:tr w:rsidR="008C4AC0" w:rsidRPr="0096506C" w14:paraId="6DC4E7A8" w14:textId="77777777" w:rsidTr="00FF343F">
        <w:tc>
          <w:tcPr>
            <w:tcW w:w="704" w:type="dxa"/>
          </w:tcPr>
          <w:p w14:paraId="075C6CDB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FC8C454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02.06.2022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14:paraId="5420C240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взаимодействие с образовательными организациями, оснащенными современной инфраструктурой в рамках национального проекта «Образование»</w:t>
            </w:r>
          </w:p>
        </w:tc>
        <w:tc>
          <w:tcPr>
            <w:tcW w:w="5557" w:type="dxa"/>
          </w:tcPr>
          <w:p w14:paraId="07C8F548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Инфраструктура национального проекта «Образование» для детей и педагогов;</w:t>
            </w:r>
          </w:p>
          <w:p w14:paraId="43769170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Нормативные и организационные условия реализации сетевых образовательных программ с привлечением иных образовательных организаций, оснащенных в рамках национального проекта «Образование»;</w:t>
            </w:r>
          </w:p>
          <w:p w14:paraId="36B65E10" w14:textId="77777777"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14:paraId="0D4366A1" w14:textId="77777777"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https://youtu.be/MAqXmjYQTZQ</w:t>
            </w:r>
          </w:p>
        </w:tc>
      </w:tr>
    </w:tbl>
    <w:p w14:paraId="35F80893" w14:textId="77777777" w:rsidR="00B66F3B" w:rsidRDefault="00B66F3B"/>
    <w:sectPr w:rsidR="00B66F3B" w:rsidSect="009763C4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9325" w14:textId="77777777" w:rsidR="00383A2C" w:rsidRDefault="00383A2C" w:rsidP="008C4AC0">
      <w:pPr>
        <w:spacing w:after="0" w:line="240" w:lineRule="auto"/>
      </w:pPr>
      <w:r>
        <w:separator/>
      </w:r>
    </w:p>
  </w:endnote>
  <w:endnote w:type="continuationSeparator" w:id="0">
    <w:p w14:paraId="0A4A98A0" w14:textId="77777777" w:rsidR="00383A2C" w:rsidRDefault="00383A2C" w:rsidP="008C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2EC6" w14:textId="77777777" w:rsidR="00383A2C" w:rsidRDefault="00383A2C" w:rsidP="008C4AC0">
      <w:pPr>
        <w:spacing w:after="0" w:line="240" w:lineRule="auto"/>
      </w:pPr>
      <w:r>
        <w:separator/>
      </w:r>
    </w:p>
  </w:footnote>
  <w:footnote w:type="continuationSeparator" w:id="0">
    <w:p w14:paraId="727760CE" w14:textId="77777777" w:rsidR="00383A2C" w:rsidRDefault="00383A2C" w:rsidP="008C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480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C52A97" w14:textId="194AE477" w:rsidR="009763C4" w:rsidRPr="009763C4" w:rsidRDefault="009763C4">
        <w:pPr>
          <w:pStyle w:val="a5"/>
          <w:jc w:val="center"/>
          <w:rPr>
            <w:rFonts w:ascii="Times New Roman" w:hAnsi="Times New Roman" w:cs="Times New Roman"/>
          </w:rPr>
        </w:pPr>
        <w:r w:rsidRPr="009763C4">
          <w:rPr>
            <w:rFonts w:ascii="Times New Roman" w:hAnsi="Times New Roman" w:cs="Times New Roman"/>
          </w:rPr>
          <w:fldChar w:fldCharType="begin"/>
        </w:r>
        <w:r w:rsidRPr="009763C4">
          <w:rPr>
            <w:rFonts w:ascii="Times New Roman" w:hAnsi="Times New Roman" w:cs="Times New Roman"/>
          </w:rPr>
          <w:instrText>PAGE   \* MERGEFORMAT</w:instrText>
        </w:r>
        <w:r w:rsidRPr="009763C4">
          <w:rPr>
            <w:rFonts w:ascii="Times New Roman" w:hAnsi="Times New Roman" w:cs="Times New Roman"/>
          </w:rPr>
          <w:fldChar w:fldCharType="separate"/>
        </w:r>
        <w:r w:rsidR="00640428">
          <w:rPr>
            <w:rFonts w:ascii="Times New Roman" w:hAnsi="Times New Roman" w:cs="Times New Roman"/>
            <w:noProof/>
          </w:rPr>
          <w:t>4</w:t>
        </w:r>
        <w:r w:rsidRPr="009763C4">
          <w:rPr>
            <w:rFonts w:ascii="Times New Roman" w:hAnsi="Times New Roman" w:cs="Times New Roman"/>
          </w:rPr>
          <w:fldChar w:fldCharType="end"/>
        </w:r>
      </w:p>
    </w:sdtContent>
  </w:sdt>
  <w:p w14:paraId="5CFF9F2C" w14:textId="77777777" w:rsidR="008C4AC0" w:rsidRDefault="008C4A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36BE"/>
    <w:multiLevelType w:val="hybridMultilevel"/>
    <w:tmpl w:val="AB349868"/>
    <w:lvl w:ilvl="0" w:tplc="4508B37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C0"/>
    <w:rsid w:val="00101484"/>
    <w:rsid w:val="00223224"/>
    <w:rsid w:val="00383A2C"/>
    <w:rsid w:val="0061362D"/>
    <w:rsid w:val="00640428"/>
    <w:rsid w:val="00700553"/>
    <w:rsid w:val="0078101F"/>
    <w:rsid w:val="008C4AC0"/>
    <w:rsid w:val="009763C4"/>
    <w:rsid w:val="00AA07CC"/>
    <w:rsid w:val="00AA7730"/>
    <w:rsid w:val="00B66F3B"/>
    <w:rsid w:val="00BC66A9"/>
    <w:rsid w:val="00C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7C6"/>
  <w15:chartTrackingRefBased/>
  <w15:docId w15:val="{69335A58-6A7E-4CBD-8609-756FF76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4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4AC0"/>
  </w:style>
  <w:style w:type="paragraph" w:styleId="a5">
    <w:name w:val="header"/>
    <w:basedOn w:val="a"/>
    <w:link w:val="a6"/>
    <w:uiPriority w:val="99"/>
    <w:unhideWhenUsed/>
    <w:rsid w:val="008C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AC0"/>
  </w:style>
  <w:style w:type="paragraph" w:styleId="a7">
    <w:name w:val="footer"/>
    <w:basedOn w:val="a"/>
    <w:link w:val="a8"/>
    <w:uiPriority w:val="99"/>
    <w:unhideWhenUsed/>
    <w:rsid w:val="008C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AC0"/>
  </w:style>
  <w:style w:type="table" w:styleId="a9">
    <w:name w:val="Table Grid"/>
    <w:basedOn w:val="a1"/>
    <w:uiPriority w:val="39"/>
    <w:rsid w:val="008C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Гость</cp:lastModifiedBy>
  <cp:revision>2</cp:revision>
  <dcterms:created xsi:type="dcterms:W3CDTF">2022-02-01T11:53:00Z</dcterms:created>
  <dcterms:modified xsi:type="dcterms:W3CDTF">2022-02-01T11:53:00Z</dcterms:modified>
</cp:coreProperties>
</file>