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47" w:rsidRDefault="00AC2347" w:rsidP="00AC23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2347" w:rsidRDefault="00AC2347" w:rsidP="004A3C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3C34" w:rsidRDefault="00AC2347" w:rsidP="00AC23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2347">
        <w:rPr>
          <w:rFonts w:ascii="Times New Roman" w:eastAsia="Calibri" w:hAnsi="Times New Roman" w:cs="Times New Roman"/>
          <w:sz w:val="28"/>
          <w:szCs w:val="28"/>
        </w:rPr>
        <w:drawing>
          <wp:inline distT="0" distB="0" distL="0" distR="0">
            <wp:extent cx="6390005" cy="3096355"/>
            <wp:effectExtent l="19050" t="0" r="0" b="0"/>
            <wp:docPr id="1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9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34" w:rsidRPr="004B49A8" w:rsidRDefault="004A3C34" w:rsidP="00AC2347">
      <w:pPr>
        <w:tabs>
          <w:tab w:val="left" w:pos="-142"/>
          <w:tab w:val="left" w:pos="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5D99" w:rsidRPr="004B49A8" w:rsidRDefault="004F5D99" w:rsidP="004F5D99">
      <w:pPr>
        <w:tabs>
          <w:tab w:val="left" w:pos="-142"/>
          <w:tab w:val="left" w:pos="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49A8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4F5D99" w:rsidRPr="004B49A8" w:rsidRDefault="004F5D99" w:rsidP="004F5D99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наставничеству </w:t>
      </w:r>
    </w:p>
    <w:p w:rsidR="004F5D99" w:rsidRPr="004B49A8" w:rsidRDefault="004F5D99" w:rsidP="004F5D99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математике </w:t>
      </w:r>
    </w:p>
    <w:p w:rsidR="004F5D99" w:rsidRPr="004B49A8" w:rsidRDefault="004F5D99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99" w:rsidRPr="004B49A8" w:rsidRDefault="004F5D99" w:rsidP="004F5D99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D99" w:rsidRPr="004B49A8" w:rsidRDefault="004F5D99" w:rsidP="004F5D99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D99" w:rsidRPr="004B49A8" w:rsidRDefault="004F5D99" w:rsidP="004F5D99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D99" w:rsidRPr="004B49A8" w:rsidRDefault="004F5D99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99" w:rsidRPr="004B49A8" w:rsidRDefault="004F5D99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99" w:rsidRPr="004B49A8" w:rsidRDefault="004F5D99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99" w:rsidRPr="004B49A8" w:rsidRDefault="004F5D99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="00F6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общего образования:  </w:t>
      </w:r>
      <w:r w:rsidR="0007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10 - </w:t>
      </w:r>
      <w:r w:rsidR="00F64E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4F5D99" w:rsidRDefault="004F5D99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 </w:t>
      </w:r>
      <w:r w:rsidR="004F5E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Н.В.</w:t>
      </w:r>
    </w:p>
    <w:p w:rsidR="00AC2347" w:rsidRDefault="00AC2347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47" w:rsidRDefault="00AC2347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47" w:rsidRDefault="00AC2347" w:rsidP="004F5D99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1E9" w:rsidRPr="004B49A8" w:rsidRDefault="00BE01E9" w:rsidP="004F5D99">
      <w:pPr>
        <w:tabs>
          <w:tab w:val="left" w:pos="8080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D99" w:rsidRPr="004B49A8" w:rsidRDefault="004F5D99" w:rsidP="004F5D99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B49A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4F5D99" w:rsidRDefault="004F5D99" w:rsidP="00794C4B">
      <w:pPr>
        <w:ind w:left="-42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практически единственный учебный предмет, в котором задачи используются и как цель, и как средство обучения, а иногда и как предмет изучения.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Ограниченность  учителя временными рамками  урока и временем изучения темы,  нацеленность учителя и учащихся на достижение ближайших целей (успешно написать самостоятельную или контрольную работу, сдать зачет) – все это никак не способствует решению на уроке задач творческого характера, нестандартных задач, задач повышенного уровня сложности, задач, при решении которых необходимы знания разделов математики, выходящих за пределы школьного курса.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Данная программа предполагает решение большого количества сложных задач, многие из которых понадобятся как при подготовке к олимпиадам, кразличного рода экзаменам, в частности ЕГЭ,  так и при учебе в высшей школе. </w:t>
      </w:r>
    </w:p>
    <w:p w:rsidR="004F5D99" w:rsidRDefault="004F5D99" w:rsidP="00794C4B">
      <w:pPr>
        <w:ind w:left="-42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наставничеству дополняет базовую программу, не нарушая её целостности,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того, чтобы помочь учащимся научиться решать задачи нетрадиционными способами и более глубоко изучить традиционные разделы элементарной математики. </w:t>
      </w:r>
    </w:p>
    <w:p w:rsidR="00794C4B" w:rsidRPr="00794C4B" w:rsidRDefault="00794C4B" w:rsidP="00794C4B">
      <w:pPr>
        <w:ind w:left="-426" w:right="283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4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F5D99" w:rsidRPr="00D13E2D" w:rsidRDefault="004F5D99" w:rsidP="00794C4B">
      <w:pPr>
        <w:pStyle w:val="a5"/>
        <w:spacing w:after="240" w:line="276" w:lineRule="auto"/>
        <w:ind w:left="-426" w:firstLine="284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Выявление, поддержка и психолого-педагогическое сопровождение по развитию успеха каждого ученика является одним из важных направлений образовательной деятельности МБОУ </w:t>
      </w:r>
      <w:r>
        <w:rPr>
          <w:rFonts w:ascii="Times New Roman" w:hAnsi="Times New Roman" w:cs="Times New Roman"/>
          <w:sz w:val="28"/>
          <w:szCs w:val="28"/>
        </w:rPr>
        <w:t>Зимовниковской</w:t>
      </w:r>
      <w:r w:rsidRPr="00D13E2D">
        <w:rPr>
          <w:rFonts w:ascii="Times New Roman" w:hAnsi="Times New Roman" w:cs="Times New Roman"/>
          <w:sz w:val="28"/>
          <w:szCs w:val="28"/>
        </w:rPr>
        <w:t xml:space="preserve"> СОШ  №10. </w:t>
      </w:r>
    </w:p>
    <w:p w:rsidR="004F5D99" w:rsidRPr="00D13E2D" w:rsidRDefault="004F5D99" w:rsidP="00794C4B">
      <w:pPr>
        <w:pStyle w:val="a5"/>
        <w:spacing w:after="240" w:line="276" w:lineRule="auto"/>
        <w:ind w:left="-426" w:firstLine="284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 Программа направлена на развитие образовательной среды, которая создает необходимые условия для развития успеха каждого ребенка: максимальное раскрытие возможной успешности каждого ребенка на всех уровнях обучения, оказания адресной поддержки, разработка индивидуальных «образовательных маршрутов» с учетом специфики творческой и интеллекту</w:t>
      </w:r>
      <w:r>
        <w:rPr>
          <w:rFonts w:ascii="Times New Roman" w:hAnsi="Times New Roman" w:cs="Times New Roman"/>
          <w:sz w:val="28"/>
          <w:szCs w:val="28"/>
        </w:rPr>
        <w:t>альной успешности и одаренности</w:t>
      </w:r>
      <w:r w:rsidRPr="00D13E2D">
        <w:rPr>
          <w:rFonts w:ascii="Times New Roman" w:hAnsi="Times New Roman" w:cs="Times New Roman"/>
          <w:sz w:val="28"/>
          <w:szCs w:val="28"/>
        </w:rPr>
        <w:t>.</w:t>
      </w:r>
    </w:p>
    <w:p w:rsidR="004F5D99" w:rsidRPr="00D13E2D" w:rsidRDefault="004F5D99" w:rsidP="00794C4B">
      <w:pPr>
        <w:pStyle w:val="a5"/>
        <w:spacing w:after="240" w:line="276" w:lineRule="auto"/>
        <w:ind w:left="-426" w:firstLine="284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Успех каждого ребенка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E2D">
        <w:rPr>
          <w:rFonts w:ascii="Times New Roman" w:hAnsi="Times New Roman" w:cs="Times New Roman"/>
          <w:sz w:val="28"/>
          <w:szCs w:val="28"/>
        </w:rPr>
        <w:t xml:space="preserve"> Таким образом, поддержать и развить индивидуальность ребенка, не растерять, не затормозить рост его способностей - это особо значимая задача обучения каждого ребенка.</w:t>
      </w:r>
    </w:p>
    <w:p w:rsidR="004F5D99" w:rsidRPr="00BE01E9" w:rsidRDefault="004F5D99" w:rsidP="00794C4B">
      <w:pPr>
        <w:pStyle w:val="a5"/>
        <w:spacing w:after="240" w:line="276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программы положены ведущие методологические принципы современной педагогики и психологии: системный подход,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</w:t>
      </w:r>
    </w:p>
    <w:p w:rsidR="00BE01E9" w:rsidRDefault="00794C4B" w:rsidP="00794C4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Нормативные правовые акты</w:t>
      </w:r>
    </w:p>
    <w:p w:rsidR="00794C4B" w:rsidRPr="00794C4B" w:rsidRDefault="00794C4B" w:rsidP="00794C4B">
      <w:pPr>
        <w:pStyle w:val="a6"/>
        <w:numPr>
          <w:ilvl w:val="0"/>
          <w:numId w:val="5"/>
        </w:numPr>
        <w:spacing w:after="0"/>
        <w:ind w:left="284" w:hanging="28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Конституция Российской Федерации;</w:t>
      </w:r>
    </w:p>
    <w:p w:rsidR="00794C4B" w:rsidRPr="00794C4B" w:rsidRDefault="00794C4B" w:rsidP="00794C4B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2012 г. N 273-ФЗ "Об образовании в </w:t>
      </w:r>
      <w:proofErr w:type="gramStart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p w:rsidR="00794C4B" w:rsidRPr="00794C4B" w:rsidRDefault="00794C4B" w:rsidP="00794C4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Федерации".</w:t>
      </w:r>
    </w:p>
    <w:p w:rsidR="00794C4B" w:rsidRPr="00794C4B" w:rsidRDefault="00794C4B" w:rsidP="00794C4B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министерства образования Российской Федерации № </w:t>
      </w:r>
      <w:proofErr w:type="gramStart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-145 от 25 декабря2019 г. «Об утверждении методологии (целевой) модели наставничества обучающихся для организаций, осуществляющих образовательную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794C4B" w:rsidRPr="00794C4B" w:rsidRDefault="00794C4B" w:rsidP="00794C4B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волонтерского движения в России, утвержденная на заседанииКомитета Государственной Думы Российской Федерации по делам молодежи (протокол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от 14 мая 2010 г.).</w:t>
      </w:r>
    </w:p>
    <w:p w:rsidR="00794C4B" w:rsidRPr="00794C4B" w:rsidRDefault="00794C4B" w:rsidP="00794C4B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государственной молодежной политики Российской Федерации на период до2025 года, утвержденные распоряжением Правительства Российской Федерации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2014 г. №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2403-р.</w:t>
      </w:r>
    </w:p>
    <w:p w:rsidR="004F5D99" w:rsidRPr="004B49A8" w:rsidRDefault="004F5D99" w:rsidP="00794C4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программы:</w:t>
      </w:r>
    </w:p>
    <w:p w:rsidR="004F5D99" w:rsidRPr="004B49A8" w:rsidRDefault="004F5D99" w:rsidP="00794C4B">
      <w:pPr>
        <w:numPr>
          <w:ilvl w:val="0"/>
          <w:numId w:val="1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4F5D99" w:rsidRPr="004B49A8" w:rsidRDefault="004F5D99" w:rsidP="00794C4B">
      <w:pPr>
        <w:numPr>
          <w:ilvl w:val="0"/>
          <w:numId w:val="1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оптимального развития наставляемых детей.</w:t>
      </w:r>
    </w:p>
    <w:p w:rsidR="004F5D99" w:rsidRPr="004B49A8" w:rsidRDefault="004F5D99" w:rsidP="00794C4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4F5D99" w:rsidRPr="004B49A8" w:rsidRDefault="004F5D99" w:rsidP="00794C4B">
      <w:pPr>
        <w:numPr>
          <w:ilvl w:val="0"/>
          <w:numId w:val="2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способности наставляемых детей.</w:t>
      </w:r>
    </w:p>
    <w:p w:rsidR="004F5D99" w:rsidRPr="004B49A8" w:rsidRDefault="004F5D99" w:rsidP="00794C4B">
      <w:pPr>
        <w:numPr>
          <w:ilvl w:val="0"/>
          <w:numId w:val="2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индивидуальный подход в работе с </w:t>
      </w:r>
      <w:proofErr w:type="gramStart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наставляемыми</w:t>
      </w:r>
      <w:proofErr w:type="gramEnd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на уроках и во внеурочное время с учетом возрастных и индивидуальных особенностей детей;</w:t>
      </w:r>
    </w:p>
    <w:p w:rsidR="004F5D99" w:rsidRPr="004B49A8" w:rsidRDefault="004F5D99" w:rsidP="00794C4B">
      <w:pPr>
        <w:numPr>
          <w:ilvl w:val="0"/>
          <w:numId w:val="2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4F5D99" w:rsidRPr="004B49A8" w:rsidRDefault="004F5D99" w:rsidP="00794C4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работы:</w:t>
      </w:r>
    </w:p>
    <w:p w:rsidR="004F5D99" w:rsidRPr="004B49A8" w:rsidRDefault="004F5D99" w:rsidP="00794C4B">
      <w:pPr>
        <w:numPr>
          <w:ilvl w:val="0"/>
          <w:numId w:val="3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анкетирование, опрос;</w:t>
      </w:r>
    </w:p>
    <w:p w:rsidR="004F5D99" w:rsidRPr="004B49A8" w:rsidRDefault="004F5D99" w:rsidP="00794C4B">
      <w:pPr>
        <w:numPr>
          <w:ilvl w:val="0"/>
          <w:numId w:val="3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:rsidR="004F5D99" w:rsidRPr="004B49A8" w:rsidRDefault="004F5D99" w:rsidP="00794C4B">
      <w:pPr>
        <w:numPr>
          <w:ilvl w:val="0"/>
          <w:numId w:val="3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:rsidR="004F5D99" w:rsidRPr="004B49A8" w:rsidRDefault="004F5D99" w:rsidP="00794C4B">
      <w:pPr>
        <w:numPr>
          <w:ilvl w:val="0"/>
          <w:numId w:val="3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научных источников;</w:t>
      </w:r>
    </w:p>
    <w:p w:rsidR="004F5D99" w:rsidRPr="004B49A8" w:rsidRDefault="004F5D99" w:rsidP="00794C4B">
      <w:pPr>
        <w:numPr>
          <w:ilvl w:val="0"/>
          <w:numId w:val="3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работы;</w:t>
      </w:r>
    </w:p>
    <w:p w:rsidR="004F5D99" w:rsidRPr="004B49A8" w:rsidRDefault="004F5D99" w:rsidP="00794C4B">
      <w:pPr>
        <w:numPr>
          <w:ilvl w:val="0"/>
          <w:numId w:val="3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прогнозирования;</w:t>
      </w:r>
    </w:p>
    <w:p w:rsidR="004F5D99" w:rsidRPr="004B49A8" w:rsidRDefault="004F5D99" w:rsidP="00794C4B">
      <w:pPr>
        <w:numPr>
          <w:ilvl w:val="0"/>
          <w:numId w:val="3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исследования проблемы.</w:t>
      </w:r>
    </w:p>
    <w:p w:rsidR="004F5D99" w:rsidRPr="004B49A8" w:rsidRDefault="004F5D99" w:rsidP="00794C4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работы</w:t>
      </w: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творческие мастерские;</w:t>
      </w:r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</w:t>
      </w:r>
      <w:proofErr w:type="gramStart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кружковые занятия;</w:t>
      </w:r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конкурсы;</w:t>
      </w:r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марафон;</w:t>
      </w:r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предметных олимпиадах;</w:t>
      </w:r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индивидуальным планам;</w:t>
      </w:r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научно-исследовательские конференции;</w:t>
      </w:r>
    </w:p>
    <w:p w:rsidR="004F5D99" w:rsidRPr="004B49A8" w:rsidRDefault="004F5D99" w:rsidP="00794C4B">
      <w:pPr>
        <w:numPr>
          <w:ilvl w:val="0"/>
          <w:numId w:val="4"/>
        </w:numPr>
        <w:spacing w:after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ученических научных обществах.</w:t>
      </w:r>
    </w:p>
    <w:p w:rsidR="004F5D99" w:rsidRPr="004B49A8" w:rsidRDefault="004F5D99" w:rsidP="004F5D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5D99" w:rsidRPr="004B49A8" w:rsidRDefault="004F5D99" w:rsidP="004F5D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9A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4F5D99" w:rsidRPr="004B49A8" w:rsidRDefault="004F5D99" w:rsidP="004F5D9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4B49A8">
        <w:rPr>
          <w:color w:val="000000" w:themeColor="text1"/>
          <w:sz w:val="28"/>
          <w:szCs w:val="28"/>
        </w:rPr>
        <w:t>-способность сознательно организовывать и регулировать свою деятельность – учебную, общественную и др.;</w:t>
      </w:r>
    </w:p>
    <w:p w:rsidR="004F5D99" w:rsidRPr="004B49A8" w:rsidRDefault="004F5D99" w:rsidP="004F5D9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4B49A8">
        <w:rPr>
          <w:color w:val="000000" w:themeColor="text1"/>
          <w:sz w:val="28"/>
          <w:szCs w:val="28"/>
        </w:rPr>
        <w:t>-овладение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4F5D99" w:rsidRPr="004B49A8" w:rsidRDefault="004F5D99" w:rsidP="004F5D9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4B49A8">
        <w:rPr>
          <w:color w:val="000000" w:themeColor="text1"/>
          <w:sz w:val="28"/>
          <w:szCs w:val="28"/>
        </w:rPr>
        <w:t>-способность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4F5D99" w:rsidRPr="004B49A8" w:rsidRDefault="004F5D99" w:rsidP="004F5D9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-готовность к сотрудничеству с соучениками, коллективной работе, освоение основ межкультурного взаимодействия в школе и социальном окружении </w:t>
      </w:r>
    </w:p>
    <w:p w:rsidR="004F5D99" w:rsidRPr="004B49A8" w:rsidRDefault="004F5D99" w:rsidP="004F5D99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работы с </w:t>
      </w:r>
      <w:proofErr w:type="gramStart"/>
      <w:r w:rsidRPr="004B4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наставляемыми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5581"/>
        <w:gridCol w:w="2841"/>
        <w:gridCol w:w="1383"/>
      </w:tblGrid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gramStart"/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F5D99" w:rsidRPr="004B49A8" w:rsidRDefault="004F5D99" w:rsidP="0079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794C4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школьной олимпиаде по</w:t>
            </w:r>
            <w:r w:rsidR="00794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математике</w:t>
            </w: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F5D99" w:rsidRPr="004B49A8" w:rsidRDefault="004F5D99" w:rsidP="0079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школьных предметных олимпиадах.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B51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Олимпиада по </w:t>
            </w:r>
            <w:r w:rsidR="00B5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B510A3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 школьного, муниципального и регионального уровней.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B510A3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очных/ заочных общероссийских и международных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B510A3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деятельность. Подготовка к научно-практической конференции, выбор тем для конференции.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Лекционно-практические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F5D99" w:rsidRPr="004B49A8" w:rsidRDefault="004F5D99" w:rsidP="0079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научно-практической конференции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4F5D99" w:rsidRPr="004B49A8" w:rsidRDefault="004F5D99" w:rsidP="0079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5D99" w:rsidRPr="004B49A8" w:rsidTr="00095F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B51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ЕГЭ по </w:t>
            </w:r>
            <w:r w:rsidR="00B5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5D99" w:rsidRPr="004B49A8" w:rsidRDefault="004F5D99" w:rsidP="00095F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5D99" w:rsidRPr="004B49A8" w:rsidRDefault="004F5D99" w:rsidP="00794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4F5D99" w:rsidRPr="004B49A8" w:rsidRDefault="004F5D99" w:rsidP="0079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</w:tbl>
    <w:p w:rsidR="007B2395" w:rsidRDefault="007B2395" w:rsidP="007B2395">
      <w:pPr>
        <w:pStyle w:val="a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5D99" w:rsidRPr="00303AFD" w:rsidRDefault="007B2395" w:rsidP="00303AF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E252B6">
        <w:rPr>
          <w:rFonts w:ascii="Times New Roman" w:hAnsi="Times New Roman" w:cs="Times New Roman"/>
          <w:b/>
          <w:sz w:val="28"/>
          <w:szCs w:val="28"/>
        </w:rPr>
        <w:t>ематическое планирование индивидуальных занятий: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31"/>
        <w:gridCol w:w="4423"/>
        <w:gridCol w:w="1230"/>
        <w:gridCol w:w="1131"/>
        <w:gridCol w:w="1276"/>
        <w:gridCol w:w="1531"/>
      </w:tblGrid>
      <w:tr w:rsidR="00F46593" w:rsidRPr="00F46593" w:rsidTr="004F5EDF">
        <w:trPr>
          <w:trHeight w:val="288"/>
        </w:trPr>
        <w:tc>
          <w:tcPr>
            <w:tcW w:w="309" w:type="pct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4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4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0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5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6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749" w:type="pct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F46593" w:rsidRPr="00F46593" w:rsidTr="004F5EDF">
        <w:trPr>
          <w:trHeight w:val="280"/>
        </w:trPr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об уравнениях, неравенствах и их системах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6593" w:rsidRPr="00F46593" w:rsidTr="004F5EDF">
        <w:trPr>
          <w:trHeight w:val="292"/>
        </w:trPr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решения неравенств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6593" w:rsidRPr="00F46593" w:rsidTr="004F5EDF">
        <w:trPr>
          <w:trHeight w:val="312"/>
        </w:trPr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решения систем уравнений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6593" w:rsidRPr="00F46593" w:rsidTr="004F5EDF">
        <w:trPr>
          <w:trHeight w:val="332"/>
        </w:trPr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с модулем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6593" w:rsidRPr="00F46593" w:rsidTr="004F5EDF">
        <w:trPr>
          <w:trHeight w:val="352"/>
        </w:trPr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Неравенства с модулем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6593" w:rsidRPr="00F46593" w:rsidTr="004F5EDF">
        <w:trPr>
          <w:trHeight w:val="230"/>
        </w:trPr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с параметрами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F46593" w:rsidRPr="00F46593" w:rsidTr="004F5EDF">
        <w:trPr>
          <w:trHeight w:val="250"/>
        </w:trPr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Неравенства с параметрами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6593" w:rsidRPr="00F46593" w:rsidTr="004F5EDF">
        <w:trPr>
          <w:trHeight w:val="270"/>
        </w:trPr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Тригонометрические уравнения и неравенства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6593" w:rsidRPr="00F46593" w:rsidTr="004F5EDF">
        <w:trPr>
          <w:trHeight w:val="156"/>
        </w:trPr>
        <w:tc>
          <w:tcPr>
            <w:tcW w:w="309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1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Обобщающее повторение 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2" w:type="dxa"/>
            </w:tcMar>
            <w:hideMark/>
          </w:tcPr>
          <w:p w:rsidR="00F46593" w:rsidRPr="00F46593" w:rsidRDefault="00F46593" w:rsidP="00F46593">
            <w:pPr>
              <w:spacing w:after="120"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6574C2" w:rsidRDefault="006574C2"/>
    <w:sectPr w:rsidR="006574C2" w:rsidSect="00BE01E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7A05"/>
    <w:multiLevelType w:val="hybridMultilevel"/>
    <w:tmpl w:val="81EA7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5D99"/>
    <w:rsid w:val="000770D8"/>
    <w:rsid w:val="001D0757"/>
    <w:rsid w:val="002B7FFE"/>
    <w:rsid w:val="00303AFD"/>
    <w:rsid w:val="00365445"/>
    <w:rsid w:val="003811A3"/>
    <w:rsid w:val="003C2F9C"/>
    <w:rsid w:val="004628CF"/>
    <w:rsid w:val="004A3C34"/>
    <w:rsid w:val="004F5D99"/>
    <w:rsid w:val="004F5EDF"/>
    <w:rsid w:val="005300B0"/>
    <w:rsid w:val="006574C2"/>
    <w:rsid w:val="00682818"/>
    <w:rsid w:val="00684AB2"/>
    <w:rsid w:val="00794C4B"/>
    <w:rsid w:val="007B2395"/>
    <w:rsid w:val="00844EF7"/>
    <w:rsid w:val="008B7637"/>
    <w:rsid w:val="00A65686"/>
    <w:rsid w:val="00AC2347"/>
    <w:rsid w:val="00B0474D"/>
    <w:rsid w:val="00B510A3"/>
    <w:rsid w:val="00BE01E9"/>
    <w:rsid w:val="00CF0D5D"/>
    <w:rsid w:val="00F46593"/>
    <w:rsid w:val="00F6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F5D9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94C4B"/>
    <w:pPr>
      <w:ind w:left="720"/>
      <w:contextualSpacing/>
    </w:pPr>
  </w:style>
  <w:style w:type="character" w:styleId="a7">
    <w:name w:val="Strong"/>
    <w:basedOn w:val="a0"/>
    <w:uiPriority w:val="22"/>
    <w:qFormat/>
    <w:rsid w:val="00F465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A52A-1AF8-443B-93B0-FD8F3A73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2024-12-23T05:28:00Z</cp:lastPrinted>
  <dcterms:created xsi:type="dcterms:W3CDTF">2021-09-14T16:33:00Z</dcterms:created>
  <dcterms:modified xsi:type="dcterms:W3CDTF">2024-12-23T11:59:00Z</dcterms:modified>
</cp:coreProperties>
</file>