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jc w:val="both"/>
      </w:pPr>
    </w:p>
    <w:p w14:paraId="02000000">
      <w:pPr>
        <w:pStyle w:val="Style_2"/>
        <w:widowControl w:val="1"/>
        <w:ind/>
        <w:jc w:val="center"/>
        <w:rPr>
          <w:rFonts w:ascii="Times New Roman" w:hAnsi="Times New Roman"/>
          <w:sz w:val="28"/>
        </w:rPr>
      </w:pPr>
      <w:r>
        <w:rPr>
          <w:rFonts w:ascii="Times New Roman" w:hAnsi="Times New Roman"/>
          <w:sz w:val="28"/>
        </w:rPr>
        <w:t>ХИЩЕНИЕ ДЕНЕЖНЫХ</w:t>
      </w:r>
      <w:r>
        <w:rPr>
          <w:rFonts w:ascii="Times New Roman" w:hAnsi="Times New Roman"/>
          <w:sz w:val="28"/>
        </w:rPr>
        <w:t xml:space="preserve"> </w:t>
      </w:r>
      <w:r>
        <w:rPr>
          <w:rFonts w:ascii="Times New Roman" w:hAnsi="Times New Roman"/>
          <w:sz w:val="28"/>
        </w:rPr>
        <w:t xml:space="preserve">СРЕДСТВ </w:t>
      </w:r>
      <w:r>
        <w:rPr>
          <w:rFonts w:ascii="Times New Roman" w:hAnsi="Times New Roman"/>
          <w:sz w:val="28"/>
        </w:rPr>
        <w:t>ГРАЖДАН</w:t>
      </w:r>
    </w:p>
    <w:p w14:paraId="03000000">
      <w:pPr>
        <w:pStyle w:val="Style_2"/>
        <w:widowControl w:val="1"/>
        <w:ind/>
        <w:jc w:val="center"/>
        <w:rPr>
          <w:rFonts w:ascii="Times New Roman" w:hAnsi="Times New Roman"/>
          <w:sz w:val="28"/>
        </w:rPr>
      </w:pPr>
      <w:r>
        <w:rPr>
          <w:rFonts w:ascii="Times New Roman" w:hAnsi="Times New Roman"/>
          <w:sz w:val="28"/>
        </w:rPr>
        <w:t xml:space="preserve">ПУТЕМ СОЗДАНИЯ МОШЕННИЧЕСКИХ СХЕМ </w:t>
      </w:r>
    </w:p>
    <w:p w14:paraId="04000000">
      <w:pPr>
        <w:pStyle w:val="Style_2"/>
        <w:widowControl w:val="1"/>
        <w:ind/>
        <w:jc w:val="center"/>
        <w:rPr>
          <w:rFonts w:ascii="Times New Roman" w:hAnsi="Times New Roman"/>
          <w:sz w:val="28"/>
        </w:rPr>
      </w:pPr>
      <w:r>
        <w:rPr>
          <w:rFonts w:ascii="Times New Roman" w:hAnsi="Times New Roman"/>
          <w:sz w:val="28"/>
        </w:rPr>
        <w:t xml:space="preserve"> </w:t>
      </w:r>
    </w:p>
    <w:p w14:paraId="05000000">
      <w:pPr>
        <w:widowControl w:val="0"/>
        <w:ind/>
        <w:jc w:val="both"/>
      </w:pPr>
      <w:r>
        <w:rPr>
          <w:b w:val="1"/>
        </w:rPr>
        <w:tab/>
      </w:r>
      <w:r>
        <w:t>По мере расширения сферы применения Интернета растет и число людей, использующих эту информационную среду для финансовых операций. Одновременно с этим, возможности Интернета делают его очень удобным инструментом для организаторов мошеннических схем. Обе</w:t>
      </w:r>
      <w:r>
        <w:t>щая</w:t>
      </w:r>
      <w:r>
        <w:t xml:space="preserve"> инвесторам (гражданам)</w:t>
      </w:r>
      <w:r>
        <w:t xml:space="preserve"> высокий</w:t>
      </w:r>
      <w:r>
        <w:t xml:space="preserve"> дохода, но шанс получить его есть только у организат</w:t>
      </w:r>
      <w:r>
        <w:t>оров-преступников.</w:t>
      </w:r>
    </w:p>
    <w:p w14:paraId="06000000">
      <w:pPr>
        <w:widowControl w:val="0"/>
        <w:ind/>
        <w:jc w:val="both"/>
      </w:pPr>
      <w:r>
        <w:tab/>
      </w:r>
      <w:r>
        <w:t>Хищения, связанные с п</w:t>
      </w:r>
      <w:r>
        <w:t>о</w:t>
      </w:r>
      <w:r>
        <w:t xml:space="preserve">пытками пользователей заработать торговлей на фондовых или валютных биржах, интернет-трейдингом, вложениями в криптовалюту, входят в десятку наиболее </w:t>
      </w:r>
      <w:r>
        <w:t>распространённых</w:t>
      </w:r>
      <w:r>
        <w:t xml:space="preserve"> способов мош</w:t>
      </w:r>
      <w:r>
        <w:t>енничества в социальном сегменте</w:t>
      </w:r>
      <w:r>
        <w:t xml:space="preserve"> сети Интернет.</w:t>
      </w:r>
    </w:p>
    <w:p w14:paraId="07000000">
      <w:pPr>
        <w:widowControl w:val="0"/>
        <w:ind/>
        <w:jc w:val="both"/>
      </w:pPr>
      <w:r>
        <w:tab/>
      </w:r>
      <w:r>
        <w:t>Наиболее распространенным вариантом такого типа мошенничества является так называемая «брокер-кухня» Это компания, которая предоставляет своим клиентам мнимый выход на биржу. Трейдер (гражданин) пополняет счет, начинает торговать, считая, что находится на реальном рынке, но на самом деле торговля ведется во внутренней электронной системе брокера</w:t>
      </w:r>
      <w:r>
        <w:t xml:space="preserve"> </w:t>
      </w:r>
      <w:r>
        <w:t>по котировкам</w:t>
      </w:r>
      <w:r>
        <w:t>,</w:t>
      </w:r>
      <w:r>
        <w:t xml:space="preserve"> только частично приближенным к реальным. Как только трейдер (гражданин) начинает зарабатывать, «брокер-кухня» подкручивает терминал, искусственно меняет направ</w:t>
      </w:r>
      <w:r>
        <w:t>ление тренда, находит поводы, чтобы трейдер (гражданин) терял деньги, препя</w:t>
      </w:r>
      <w:r>
        <w:t>тствует выводу средств со счета, путем обмана на граждан оформляются кредиты.</w:t>
      </w:r>
    </w:p>
    <w:p w14:paraId="08000000">
      <w:pPr>
        <w:widowControl w:val="0"/>
        <w:ind/>
        <w:jc w:val="both"/>
      </w:pPr>
      <w:r>
        <w:tab/>
      </w:r>
      <w:r>
        <w:t>В Ростовской области возбуждено уголовное дело в отношении неустановленного лица, которое обратилось к гражданину Ю., представилось сотрудником брокерской компании и под предлогом получения дополнительного заработка убедило его перевести более 700 тысяч рублей со своего банковского счета на другие счета, которые впоследствии были похищены.</w:t>
      </w:r>
    </w:p>
    <w:p w14:paraId="09000000">
      <w:pPr>
        <w:widowControl w:val="0"/>
        <w:ind/>
        <w:jc w:val="both"/>
      </w:pPr>
      <w:r>
        <w:t xml:space="preserve">          Имел место факт, когда неустановленное лицо, обратилось к гражданину С. и под предлогом получения подарка от ПАО «Сбербанк» убедило его перейти по ссылке, указать данные банковской карты, в результате чего произошло списание с банковского счета денежных средств в сумме 53 тысяч рублей, которые также были похищены.</w:t>
      </w:r>
    </w:p>
    <w:p w14:paraId="0A000000">
      <w:pPr>
        <w:widowControl w:val="0"/>
        <w:ind/>
        <w:jc w:val="both"/>
      </w:pPr>
      <w:r>
        <w:tab/>
      </w:r>
      <w:r>
        <w:t>По прежнему в Ростовской области распространен такой вид мошенничества, когда под угрозой привлечения граждан к уголовной ответственности, неустановленные лица требуют перевести со своего банковского счета на чужие счета денежные средства.</w:t>
      </w:r>
    </w:p>
    <w:p w14:paraId="0B000000">
      <w:pPr>
        <w:widowControl w:val="0"/>
        <w:ind/>
        <w:jc w:val="both"/>
      </w:pPr>
      <w:r>
        <w:tab/>
      </w:r>
      <w:r>
        <w:t xml:space="preserve"> </w:t>
      </w:r>
      <w:r>
        <w:t xml:space="preserve">Следует отметить, что как правило, такие преступления </w:t>
      </w:r>
      <w:r>
        <w:t>совершаются лицами, нахо</w:t>
      </w:r>
      <w:r>
        <w:t>дящимися в иных регионах России, а также за ее пределами, зачастую в местах лишения свободы, расследование таких дел представляют особую сложность, в связи с чем до настоящего времени преступления не раскрыты, ущерб гражданам не возмещен, в связи с чем, будьте предельно бдительны.</w:t>
      </w:r>
    </w:p>
    <w:p w14:paraId="0C000000">
      <w:pPr>
        <w:widowControl w:val="1"/>
        <w:ind w:firstLine="540"/>
        <w:jc w:val="both"/>
      </w:pPr>
      <w:r>
        <w:t xml:space="preserve"> </w:t>
      </w:r>
      <w:r>
        <w:t xml:space="preserve"> </w:t>
      </w:r>
    </w:p>
    <w:p w14:paraId="0D000000">
      <w:pPr>
        <w:widowControl w:val="1"/>
        <w:ind/>
        <w:jc w:val="both"/>
      </w:pPr>
      <w:r>
        <w:t>Заместитель прокурора</w:t>
      </w:r>
    </w:p>
    <w:p w14:paraId="0E000000">
      <w:pPr>
        <w:widowControl w:val="1"/>
        <w:ind/>
        <w:jc w:val="both"/>
      </w:pPr>
      <w:r>
        <w:t>с</w:t>
      </w:r>
      <w:r>
        <w:t xml:space="preserve">оветник юстиции                                                                           </w:t>
      </w:r>
      <w:r>
        <w:t xml:space="preserve">   </w:t>
      </w:r>
      <w:r>
        <w:t>Т.В. Кириченко</w:t>
      </w:r>
    </w:p>
    <w:p w14:paraId="0F000000">
      <w:pPr>
        <w:widowControl w:val="1"/>
        <w:spacing w:line="240" w:lineRule="exact"/>
        <w:ind/>
        <w:jc w:val="both"/>
      </w:pPr>
      <w:r>
        <w:tab/>
      </w:r>
      <w:r>
        <w:tab/>
      </w:r>
      <w:r>
        <w:tab/>
      </w:r>
      <w:r>
        <w:tab/>
      </w:r>
      <w:r>
        <w:tab/>
      </w:r>
      <w:r>
        <w:t xml:space="preserve"> </w:t>
      </w:r>
    </w:p>
    <w:sectPr>
      <w:pgSz w:h="16838" w:orient="portrait" w:w="11906"/>
      <w:pgMar w:bottom="680" w:footer="709" w:gutter="0" w:header="709" w:left="1701" w:right="567"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8"/>
    </w:rPr>
  </w:style>
  <w:style w:default="1" w:styleId="Style_3_ch" w:type="character">
    <w:name w:val="Normal"/>
    <w:link w:val="Style_3"/>
    <w:rPr>
      <w:sz w:val="28"/>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ConsPlusNormal"/>
    <w:link w:val="Style_1_ch"/>
    <w:pPr>
      <w:widowControl w:val="0"/>
      <w:ind/>
    </w:pPr>
    <w:rPr>
      <w:sz w:val="24"/>
    </w:rPr>
  </w:style>
  <w:style w:styleId="Style_1_ch" w:type="character">
    <w:name w:val="ConsPlusNormal"/>
    <w:link w:val="Style_1"/>
    <w:rPr>
      <w:sz w:val="24"/>
    </w:rPr>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 Знак1 Знак Знак Знак"/>
    <w:basedOn w:val="Style_3"/>
    <w:link w:val="Style_11_ch"/>
    <w:pPr>
      <w:widowControl w:val="1"/>
      <w:spacing w:afterAutospacing="on" w:beforeAutospacing="on"/>
      <w:ind/>
    </w:pPr>
    <w:rPr>
      <w:rFonts w:ascii="Tahoma" w:hAnsi="Tahoma"/>
      <w:sz w:val="20"/>
    </w:rPr>
  </w:style>
  <w:style w:styleId="Style_11_ch" w:type="character">
    <w:name w:val=" Знак1 Знак Знак Знак"/>
    <w:basedOn w:val="Style_3_ch"/>
    <w:link w:val="Style_11"/>
    <w:rPr>
      <w:rFonts w:ascii="Tahoma" w:hAnsi="Tahoma"/>
      <w:sz w:val="20"/>
    </w:rPr>
  </w:style>
  <w:style w:styleId="Style_12" w:type="paragraph">
    <w:name w:val="heading 5"/>
    <w:next w:val="Style_3"/>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3"/>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3"/>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3"/>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3"/>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Balloon Text"/>
    <w:basedOn w:val="Style_3"/>
    <w:link w:val="Style_20_ch"/>
    <w:rPr>
      <w:rFonts w:ascii="Segoe UI" w:hAnsi="Segoe UI"/>
      <w:sz w:val="18"/>
    </w:rPr>
  </w:style>
  <w:style w:styleId="Style_20_ch" w:type="character">
    <w:name w:val="Balloon Text"/>
    <w:basedOn w:val="Style_3_ch"/>
    <w:link w:val="Style_20"/>
    <w:rPr>
      <w:rFonts w:ascii="Segoe UI" w:hAnsi="Segoe UI"/>
      <w:sz w:val="18"/>
    </w:rPr>
  </w:style>
  <w:style w:styleId="Style_21" w:type="paragraph">
    <w:name w:val="toc 5"/>
    <w:next w:val="Style_3"/>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3"/>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3"/>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3"/>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3"/>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2026-04-28T12:15:18Z</dcterms:created>
  <dcterms:modified xsi:type="dcterms:W3CDTF">2026-04-28T12:18:19Z</dcterms:modified>
</cp:coreProperties>
</file>