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A5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14:paraId="46B435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Библиографического списка источников</w:t>
      </w:r>
    </w:p>
    <w:p w14:paraId="03F16735">
      <w:pPr>
        <w:spacing w:after="0" w:line="360" w:lineRule="auto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Библиографический список является обязательной частью любой исследовательской работы. </w:t>
      </w:r>
    </w:p>
    <w:p w14:paraId="08D10638">
      <w:pPr>
        <w:pStyle w:val="10"/>
        <w:spacing w:before="0" w:beforeAutospacing="0" w:after="0" w:afterAutospacing="0"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Наиболее удобным является алфавитное расположение материала, так как в этом случае произведения собираются в авторских комплексах. Произведения одного автора расставляются в списке по алфавиту заглавий.</w:t>
      </w:r>
    </w:p>
    <w:p w14:paraId="25F13504">
      <w:pPr>
        <w:pStyle w:val="10"/>
        <w:spacing w:before="0" w:beforeAutospacing="0" w:after="0" w:afterAutospacing="0"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Независимо от выбранного способа группировки источники в списке располагаются следующим образом:</w:t>
      </w:r>
    </w:p>
    <w:p w14:paraId="421B97B1">
      <w:pPr>
        <w:pStyle w:val="1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Официальные документы: </w:t>
      </w:r>
      <w:r>
        <w:rPr>
          <w:sz w:val="28"/>
          <w:szCs w:val="28"/>
        </w:rPr>
        <w:t xml:space="preserve">международные правовые акты; федеральные нормативно-правовые акты: Конституция РФ, указы Президента, федеральные законы, кодексы, постановления правительства, распоряжения министерств и ведомств, инструктивные письма и т. д.; региональные нормативно-правовые акты: Конституция РК, законы РК, постановления ЗС РК, постановления Главы РК, приказы министерств и т. д. </w:t>
      </w:r>
    </w:p>
    <w:p w14:paraId="63CBBC6B">
      <w:pPr>
        <w:pStyle w:val="1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Нормативно-технические документы </w:t>
      </w:r>
      <w:r>
        <w:rPr>
          <w:sz w:val="28"/>
          <w:szCs w:val="28"/>
        </w:rPr>
        <w:t xml:space="preserve">(ГОСТы, СанПины, СП, ЕНИРы, ВНИРы и др.). </w:t>
      </w:r>
    </w:p>
    <w:p w14:paraId="0FAEBBC8">
      <w:pPr>
        <w:pStyle w:val="1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Учебная, научная, справочная литература, описание электронных ресурсов </w:t>
      </w:r>
      <w:r>
        <w:rPr>
          <w:sz w:val="28"/>
          <w:szCs w:val="28"/>
        </w:rPr>
        <w:t xml:space="preserve">(монографии, учебные пособия, статьи из сборников, статьи из журналов и газет, электронные статьи и электронные издания и т. д.). Описания располагаются в строгом алфавите фамилий авторов или заглавий книг и статей (если фамилия автора не указана) печатных и электронных. </w:t>
      </w:r>
    </w:p>
    <w:p w14:paraId="2E98A3E5">
      <w:pPr>
        <w:pStyle w:val="12"/>
        <w:spacing w:line="360" w:lineRule="auto"/>
        <w:jc w:val="both"/>
        <w:rPr>
          <w:sz w:val="28"/>
          <w:szCs w:val="28"/>
        </w:rPr>
      </w:pPr>
    </w:p>
    <w:p w14:paraId="50858ED6">
      <w:pPr>
        <w:pStyle w:val="10"/>
        <w:spacing w:before="0" w:beforeAutospacing="0" w:after="0" w:afterAutospacing="0" w:line="360" w:lineRule="auto"/>
        <w:jc w:val="both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Основные требования к списку использованной литературы </w:t>
      </w:r>
    </w:p>
    <w:p w14:paraId="236E2B0E">
      <w:pPr>
        <w:pStyle w:val="10"/>
        <w:spacing w:before="0" w:beforeAutospacing="0" w:after="0" w:afterAutospacing="0"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 Библиографические сведения в списке литературы приводятся строго по правилам, которые определяются государственными стандартами:</w:t>
      </w:r>
    </w:p>
    <w:p w14:paraId="3900284B">
      <w:pPr>
        <w:pStyle w:val="12"/>
        <w:numPr>
          <w:ilvl w:val="0"/>
          <w:numId w:val="1"/>
        </w:numPr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ГОСТ Р 7.0.100–2018 «</w:t>
      </w:r>
      <w:r>
        <w:rPr>
          <w:color w:val="auto"/>
          <w:sz w:val="28"/>
          <w:szCs w:val="28"/>
        </w:rPr>
        <w:t>Библиографическая запись. Библиографическое описание. Общие требования и правила составления».</w:t>
      </w:r>
    </w:p>
    <w:p w14:paraId="4161189E">
      <w:pPr>
        <w:pStyle w:val="12"/>
        <w:numPr>
          <w:ilvl w:val="0"/>
          <w:numId w:val="1"/>
        </w:numPr>
        <w:spacing w:line="360" w:lineRule="auto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>ГОСТ Р 7.0.12-2011</w:t>
      </w:r>
      <w:r>
        <w:rPr>
          <w:color w:val="auto"/>
          <w:sz w:val="28"/>
          <w:szCs w:val="28"/>
        </w:rPr>
        <w:t xml:space="preserve"> Библиографическая запись. Сокращение слов и словосочетаний на русском языке. Общие требования и правила. </w:t>
      </w:r>
    </w:p>
    <w:p w14:paraId="5ABD6C02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ГОСТ 7.11-2044</w:t>
      </w:r>
      <w:r>
        <w:rPr>
          <w:i w:val="0"/>
          <w:sz w:val="28"/>
          <w:szCs w:val="28"/>
        </w:rPr>
        <w:t xml:space="preserve"> Библиографическая запись. Сокращение слов и словосочетаний на иностранных европейских языках.</w:t>
      </w:r>
    </w:p>
    <w:p w14:paraId="07AC06CF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ГОСТ 7.0.5 – 2008 </w:t>
      </w:r>
      <w:r>
        <w:rPr>
          <w:i w:val="0"/>
          <w:sz w:val="28"/>
          <w:szCs w:val="28"/>
        </w:rPr>
        <w:t>«Библиографическая ссылка».</w:t>
      </w:r>
    </w:p>
    <w:p w14:paraId="37CC39B8">
      <w:pPr>
        <w:pStyle w:val="10"/>
        <w:spacing w:before="0" w:beforeAutospacing="0" w:after="0" w:afterAutospacing="0"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 В библиографическом списке используется сквозная нумерация всех источников. </w:t>
      </w:r>
    </w:p>
    <w:p w14:paraId="0597DE75">
      <w:pPr>
        <w:pStyle w:val="10"/>
        <w:spacing w:before="0" w:beforeAutospacing="0" w:after="0" w:afterAutospacing="0"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3. Библиографическая запись на документ включается в список один раз (в одном месте, под одним номером)</w:t>
      </w:r>
    </w:p>
    <w:p w14:paraId="76274F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Источники информации </w:t>
      </w:r>
    </w:p>
    <w:p w14:paraId="7A9EED9A">
      <w:pPr>
        <w:pStyle w:val="12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• Для печатных книжных и журнальных изданий (текстовых, нотных, картографических, изобразительных и т.д.) источником информации является весь титульный лист и оборот титульного листа. </w:t>
      </w:r>
      <w:r>
        <w:rPr>
          <w:color w:val="auto"/>
          <w:sz w:val="28"/>
          <w:szCs w:val="28"/>
        </w:rPr>
        <w:t xml:space="preserve">Заглавие приводят в том виде, в каком оно дано в предписанном источнике информации, в той же последовательности и с теми же грамматическими знаками. </w:t>
      </w:r>
    </w:p>
    <w:p w14:paraId="065DEC50">
      <w:pPr>
        <w:pStyle w:val="12"/>
        <w:spacing w:line="360" w:lineRule="auto"/>
        <w:jc w:val="both"/>
        <w:rPr>
          <w:sz w:val="28"/>
          <w:szCs w:val="28"/>
        </w:rPr>
      </w:pPr>
    </w:p>
    <w:p w14:paraId="611D0BD0">
      <w:pPr>
        <w:pStyle w:val="1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Для других ресурсов – сам ресурс (</w:t>
      </w:r>
      <w:r>
        <w:rPr>
          <w:color w:val="auto"/>
          <w:sz w:val="28"/>
          <w:szCs w:val="28"/>
        </w:rPr>
        <w:t>титульный экран, этикетка и т.д.)</w:t>
      </w:r>
    </w:p>
    <w:p w14:paraId="4A2A0AC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182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Библиографическое описание состоит из элементов, объединенных в области. Элементы и области приводят в последовательности, установленной ГОСТом.</w:t>
      </w:r>
    </w:p>
    <w:p w14:paraId="051C486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7B21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sz w:val="28"/>
          <w:szCs w:val="28"/>
        </w:rPr>
        <w:t>Международный стандартный номер (ISSN, ISBN, ISMN, DOI и другие) является обязательным элементом библиографической записи. Его приводят в том случае, если он известен.</w:t>
      </w:r>
    </w:p>
    <w:p w14:paraId="2F6D3D01">
      <w:pPr>
        <w:pStyle w:val="12"/>
        <w:spacing w:line="360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Обязательными элементами описания книги являются: </w:t>
      </w:r>
    </w:p>
    <w:p w14:paraId="43E1D6EF">
      <w:pPr>
        <w:pStyle w:val="12"/>
        <w:spacing w:line="360" w:lineRule="auto"/>
        <w:jc w:val="both"/>
        <w:rPr>
          <w:b/>
          <w:bCs/>
          <w:iCs/>
          <w:sz w:val="28"/>
          <w:szCs w:val="28"/>
        </w:rPr>
      </w:pPr>
    </w:p>
    <w:p w14:paraId="777D5E91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фамилии и инициалы авторов </w:t>
      </w:r>
    </w:p>
    <w:p w14:paraId="6D27B0A5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заглавие книги </w:t>
      </w:r>
    </w:p>
    <w:p w14:paraId="792E32CF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относящиеся к заглавию (например: «учебник», «учебное пособие», руководство», «атлас», «в 2-х т.», «пер. с англ.») </w:t>
      </w:r>
    </w:p>
    <w:p w14:paraId="6FE0B8BB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ответственности (инициалы и фамилия редактора книги) </w:t>
      </w:r>
    </w:p>
    <w:p w14:paraId="0C2206B8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издании («2-е изд.») </w:t>
      </w:r>
    </w:p>
    <w:p w14:paraId="08DB8D52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издания </w:t>
      </w:r>
    </w:p>
    <w:p w14:paraId="46B384B9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издательства </w:t>
      </w:r>
    </w:p>
    <w:p w14:paraId="04B86E65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издания </w:t>
      </w:r>
    </w:p>
    <w:p w14:paraId="34930859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страниц </w:t>
      </w:r>
    </w:p>
    <w:p w14:paraId="7C187A3B">
      <w:pPr>
        <w:pStyle w:val="1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доступа. </w:t>
      </w:r>
    </w:p>
    <w:p w14:paraId="2542783E">
      <w:pPr>
        <w:pStyle w:val="12"/>
        <w:spacing w:line="360" w:lineRule="auto"/>
        <w:jc w:val="both"/>
        <w:rPr>
          <w:sz w:val="28"/>
          <w:szCs w:val="28"/>
        </w:rPr>
      </w:pPr>
    </w:p>
    <w:p w14:paraId="4D56721C">
      <w:pPr>
        <w:pStyle w:val="12"/>
        <w:spacing w:line="360" w:lineRule="auto"/>
        <w:jc w:val="both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Схема библиографических записей на книгу: </w:t>
      </w:r>
    </w:p>
    <w:p w14:paraId="41C0E2B9">
      <w:pPr>
        <w:pStyle w:val="12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Заголовок записи (Фамилия И.О. автора). Основное заглавие: сведения относящиеся к заглавию / И.О. Фамилия автора (или авторов); другие сведения об ответственности. — Сведения об издании. — Место издания: Издательство, дата издания. — Объем (кол-во страниц). – (Заглавие серии). - Международный стандартный книжный номер (ISBN). — Область вида содержания и средства доступа. </w:t>
      </w:r>
    </w:p>
    <w:p w14:paraId="27D89686">
      <w:pPr>
        <w:pStyle w:val="12"/>
        <w:spacing w:line="360" w:lineRule="auto"/>
        <w:jc w:val="both"/>
        <w:rPr>
          <w:sz w:val="28"/>
          <w:szCs w:val="28"/>
        </w:rPr>
      </w:pPr>
    </w:p>
    <w:p w14:paraId="2479EFA6">
      <w:pPr>
        <w:pStyle w:val="12"/>
        <w:spacing w:line="360" w:lineRule="auto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Обязательными элементами описания статьи из журнала (печатное издание) являются:</w:t>
      </w:r>
    </w:p>
    <w:p w14:paraId="14DA84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CE50F4">
      <w:pPr>
        <w:pStyle w:val="14"/>
        <w:numPr>
          <w:ilvl w:val="0"/>
          <w:numId w:val="3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фамилии и инициалы авторов </w:t>
      </w:r>
    </w:p>
    <w:p w14:paraId="45F8F692">
      <w:pPr>
        <w:pStyle w:val="14"/>
        <w:numPr>
          <w:ilvl w:val="0"/>
          <w:numId w:val="3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заглавие статьи </w:t>
      </w:r>
    </w:p>
    <w:p w14:paraId="1A078371">
      <w:pPr>
        <w:pStyle w:val="14"/>
        <w:numPr>
          <w:ilvl w:val="0"/>
          <w:numId w:val="3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источнике, в котором опубликована статься (для журнальной статьи - название журнала, год, том, номер и страницы, на которых опубликована статья, для статьи из сборника – название сборника, место издания, год издания и страницы, на которых опубликована статья) </w:t>
      </w:r>
    </w:p>
    <w:p w14:paraId="1C63D373">
      <w:pPr>
        <w:pStyle w:val="14"/>
        <w:numPr>
          <w:ilvl w:val="0"/>
          <w:numId w:val="3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доступа. </w:t>
      </w:r>
    </w:p>
    <w:p w14:paraId="03E80573">
      <w:pPr>
        <w:pStyle w:val="14"/>
        <w:adjustRightInd w:val="0"/>
        <w:spacing w:line="360" w:lineRule="auto"/>
        <w:ind w:left="0" w:firstLine="0"/>
        <w:rPr>
          <w:color w:val="000000"/>
          <w:sz w:val="28"/>
          <w:szCs w:val="28"/>
        </w:rPr>
      </w:pPr>
    </w:p>
    <w:p w14:paraId="682F6234">
      <w:pPr>
        <w:pStyle w:val="12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14:paraId="179CA189">
      <w:pPr>
        <w:pStyle w:val="12"/>
        <w:spacing w:line="360" w:lineRule="auto"/>
        <w:jc w:val="both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Схема библиографических записей на статью: </w:t>
      </w:r>
    </w:p>
    <w:p w14:paraId="7143933C">
      <w:pPr>
        <w:pStyle w:val="12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Заголовок записи. Заглавие статьи / Сведения об ответственности. — Область вида содержания и средства доступа // Название периодического издания. — Год издания. — Номер выпуска. — Номера страниц, где помещена данная статья. </w:t>
      </w:r>
    </w:p>
    <w:p w14:paraId="2D39A6A0">
      <w:pPr>
        <w:pStyle w:val="14"/>
        <w:adjustRightInd w:val="0"/>
        <w:spacing w:line="360" w:lineRule="auto"/>
        <w:ind w:left="720" w:firstLine="0"/>
        <w:rPr>
          <w:rFonts w:eastAsiaTheme="minorHAnsi"/>
          <w:sz w:val="28"/>
          <w:szCs w:val="28"/>
        </w:rPr>
      </w:pPr>
    </w:p>
    <w:p w14:paraId="059783D8">
      <w:pPr>
        <w:pStyle w:val="14"/>
        <w:adjustRightInd w:val="0"/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Обязательными элементами описания электронных ресурсов являются: </w:t>
      </w:r>
    </w:p>
    <w:p w14:paraId="29EC0912">
      <w:pPr>
        <w:pStyle w:val="14"/>
        <w:adjustRightInd w:val="0"/>
        <w:spacing w:line="360" w:lineRule="auto"/>
        <w:ind w:left="0" w:firstLine="0"/>
        <w:rPr>
          <w:color w:val="000000"/>
          <w:sz w:val="28"/>
          <w:szCs w:val="28"/>
        </w:rPr>
      </w:pPr>
    </w:p>
    <w:p w14:paraId="720CAF1A">
      <w:pPr>
        <w:pStyle w:val="14"/>
        <w:numPr>
          <w:ilvl w:val="0"/>
          <w:numId w:val="4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фамилии и инициалы авторов (если указаны) </w:t>
      </w:r>
    </w:p>
    <w:p w14:paraId="7C602AD4">
      <w:pPr>
        <w:pStyle w:val="14"/>
        <w:numPr>
          <w:ilvl w:val="0"/>
          <w:numId w:val="4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заглавие </w:t>
      </w:r>
    </w:p>
    <w:p w14:paraId="01B16291">
      <w:pPr>
        <w:pStyle w:val="14"/>
        <w:numPr>
          <w:ilvl w:val="0"/>
          <w:numId w:val="4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сведения, относящиеся к заглавию (например: «учебник», «учебное пособие», руководство», «сайт») </w:t>
      </w:r>
    </w:p>
    <w:p w14:paraId="686D2A17">
      <w:pPr>
        <w:pStyle w:val="14"/>
        <w:numPr>
          <w:ilvl w:val="0"/>
          <w:numId w:val="4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ответственности </w:t>
      </w:r>
    </w:p>
    <w:p w14:paraId="3E0BDEBF">
      <w:pPr>
        <w:pStyle w:val="14"/>
        <w:numPr>
          <w:ilvl w:val="0"/>
          <w:numId w:val="4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электронный адрес ресурса (URL) </w:t>
      </w:r>
    </w:p>
    <w:p w14:paraId="1103B3F2">
      <w:pPr>
        <w:pStyle w:val="14"/>
        <w:numPr>
          <w:ilvl w:val="0"/>
          <w:numId w:val="4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обращения </w:t>
      </w:r>
    </w:p>
    <w:p w14:paraId="7983478E">
      <w:pPr>
        <w:pStyle w:val="14"/>
        <w:numPr>
          <w:ilvl w:val="0"/>
          <w:numId w:val="4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доступа </w:t>
      </w:r>
    </w:p>
    <w:p w14:paraId="4DA4FE03">
      <w:pPr>
        <w:pStyle w:val="14"/>
        <w:numPr>
          <w:ilvl w:val="0"/>
          <w:numId w:val="4"/>
        </w:num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доступа </w:t>
      </w:r>
    </w:p>
    <w:p w14:paraId="32EF48E8">
      <w:pPr>
        <w:pStyle w:val="12"/>
        <w:spacing w:line="360" w:lineRule="auto"/>
        <w:jc w:val="both"/>
        <w:rPr>
          <w:sz w:val="28"/>
          <w:szCs w:val="28"/>
        </w:rPr>
      </w:pPr>
    </w:p>
    <w:p w14:paraId="62B9D59F">
      <w:pPr>
        <w:pStyle w:val="12"/>
        <w:spacing w:line="360" w:lineRule="auto"/>
        <w:jc w:val="both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Схема библиографических записей на электронный ресурс: </w:t>
      </w:r>
    </w:p>
    <w:p w14:paraId="363A2A10">
      <w:pPr>
        <w:pStyle w:val="12"/>
        <w:spacing w:line="360" w:lineRule="auto"/>
        <w:jc w:val="both"/>
        <w:rPr>
          <w:color w:val="auto"/>
          <w:sz w:val="28"/>
          <w:szCs w:val="28"/>
        </w:rPr>
      </w:pPr>
    </w:p>
    <w:p w14:paraId="704CD755">
      <w:pPr>
        <w:pStyle w:val="12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Заголовок записи. Основное заглавие. — Примечание (URL: (дата обращения)). — Область вида содержания и средства доступа .</w:t>
      </w:r>
    </w:p>
    <w:p w14:paraId="6A4D405D">
      <w:pPr>
        <w:pStyle w:val="12"/>
        <w:spacing w:line="360" w:lineRule="auto"/>
        <w:jc w:val="both"/>
        <w:rPr>
          <w:sz w:val="28"/>
          <w:szCs w:val="28"/>
        </w:rPr>
      </w:pPr>
    </w:p>
    <w:p w14:paraId="0BE0B48F">
      <w:pPr>
        <w:pStyle w:val="1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«непосредственное» используют для ресурсов, содержание которых доступно для использования или восприятия без специализированного устройства непосредственно органами чувств человека (традиционное печатное издание). Термин «электронное» используют для ресурсов, содержание которых доступно с помощью компьютера. </w:t>
      </w:r>
    </w:p>
    <w:p w14:paraId="233230B3">
      <w:pPr>
        <w:pStyle w:val="12"/>
        <w:spacing w:line="360" w:lineRule="auto"/>
        <w:jc w:val="both"/>
        <w:rPr>
          <w:sz w:val="28"/>
          <w:szCs w:val="28"/>
        </w:rPr>
      </w:pPr>
    </w:p>
    <w:p w14:paraId="14210C97">
      <w:pPr>
        <w:pStyle w:val="1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Элементы библиографического описания приводятся в строго установленной последовательности и отделяются друг от друга условными разделительными знаками. </w:t>
      </w:r>
    </w:p>
    <w:p w14:paraId="2BF1710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В библиографическом описании применяются разделительные знаки. В качестве предписанной пунктуации выступают знаки препинания и математические знаки:</w:t>
      </w:r>
    </w:p>
    <w:p w14:paraId="385853C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(. - ) – для отделения одной области описания от другой</w:t>
      </w:r>
    </w:p>
    <w:p w14:paraId="7CC095A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( , ) - перед годом издания, а также перед перечислением авторов</w:t>
      </w:r>
    </w:p>
    <w:p w14:paraId="3C5A134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( : ) – перед сведениями, относящимися к изданию</w:t>
      </w:r>
    </w:p>
    <w:p w14:paraId="6215572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 xml:space="preserve">( / ) – перед сведениями об авторстве, коллективном авторе, составителе </w:t>
      </w:r>
    </w:p>
    <w:p w14:paraId="0EC0B20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или редакторе</w:t>
      </w:r>
    </w:p>
    <w:p w14:paraId="1C36729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( ; ) - для отделения друг от друга групп авторов и перед вторым</w:t>
      </w:r>
    </w:p>
    <w:p w14:paraId="77C1ADD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местом издания</w:t>
      </w:r>
    </w:p>
    <w:p w14:paraId="1357A7D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( // ) – перед сведениями об источнике, в котором опубликована статья</w:t>
      </w:r>
    </w:p>
    <w:p w14:paraId="4A8D1ACD">
      <w:pPr>
        <w:pStyle w:val="12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и после условных разделительных знаков ставится пробел в один печатный знак. Исключение составляют (.) и (,). В этом случае пробелы применяются только после них. </w:t>
      </w:r>
    </w:p>
    <w:p w14:paraId="677E66C4">
      <w:pPr>
        <w:pStyle w:val="1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Фамилия автора приводится в начале заголовка и отделяется от инициалов автора запятой «,». Между инициалами ставится пробел.  В списках литературы и ссылках запятая после фамилии может быть опущена.</w:t>
      </w:r>
      <w:r>
        <w:rPr>
          <w:rFonts w:eastAsia="Times New Roman"/>
          <w:color w:val="1A1A1A"/>
          <w:sz w:val="28"/>
          <w:szCs w:val="28"/>
        </w:rPr>
        <w:t xml:space="preserve"> В конце</w:t>
      </w:r>
    </w:p>
    <w:p w14:paraId="0153E6A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библиографического описания ставят точку.</w:t>
      </w:r>
    </w:p>
    <w:p w14:paraId="168723EF">
      <w:pPr>
        <w:pStyle w:val="12"/>
        <w:spacing w:line="360" w:lineRule="auto"/>
        <w:jc w:val="both"/>
        <w:rPr>
          <w:sz w:val="28"/>
          <w:szCs w:val="28"/>
        </w:rPr>
      </w:pPr>
    </w:p>
    <w:p w14:paraId="50744D8B">
      <w:pPr>
        <w:pStyle w:val="12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Настоящий стандарт не распространяется на правила составления библиографических ссылок</w:t>
      </w:r>
      <w:r>
        <w:rPr>
          <w:b/>
          <w:bCs/>
          <w:sz w:val="28"/>
          <w:szCs w:val="28"/>
        </w:rPr>
        <w:t>.</w:t>
      </w:r>
    </w:p>
    <w:p w14:paraId="67C0089B">
      <w:pPr>
        <w:pStyle w:val="12"/>
        <w:spacing w:line="360" w:lineRule="auto"/>
        <w:jc w:val="both"/>
        <w:rPr>
          <w:b/>
          <w:bCs/>
          <w:sz w:val="28"/>
          <w:szCs w:val="28"/>
        </w:rPr>
      </w:pPr>
    </w:p>
    <w:p w14:paraId="2845524D">
      <w:pPr>
        <w:pStyle w:val="12"/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Примеры библиографических записей</w:t>
      </w:r>
    </w:p>
    <w:p w14:paraId="40F9CBCF">
      <w:pPr>
        <w:pStyle w:val="12"/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14:paraId="67D48613">
      <w:pPr>
        <w:pStyle w:val="12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Одночастные ресурсы (книжные издания)</w:t>
      </w:r>
    </w:p>
    <w:p w14:paraId="369E7646">
      <w:pPr>
        <w:pStyle w:val="12"/>
        <w:spacing w:line="360" w:lineRule="auto"/>
        <w:jc w:val="both"/>
        <w:rPr>
          <w:b/>
          <w:bCs/>
          <w:sz w:val="28"/>
          <w:szCs w:val="28"/>
        </w:rPr>
      </w:pPr>
    </w:p>
    <w:p w14:paraId="259BE174">
      <w:pPr>
        <w:pStyle w:val="12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Книга с одним автором </w:t>
      </w:r>
    </w:p>
    <w:p w14:paraId="019C0397">
      <w:pPr>
        <w:pStyle w:val="12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 описании книги указывается фамилия автора, а за косой чертой повторяем автора с инициалами перед фамилией:</w:t>
      </w:r>
    </w:p>
    <w:p w14:paraId="708B77A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187C246D">
      <w:pPr>
        <w:pStyle w:val="12"/>
        <w:spacing w:line="360" w:lineRule="auto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 xml:space="preserve">Смирнова, И. В. Парикмахерское искусство: учебное пособие / И. В. Смирнова. – Ростов – на - Дону: Феникс, 2019. – 313 с. – (Среднее профессиональное образование). - </w:t>
      </w:r>
      <w:r>
        <w:rPr>
          <w:color w:val="auto"/>
          <w:sz w:val="28"/>
          <w:szCs w:val="28"/>
        </w:rPr>
        <w:t xml:space="preserve">ISBN 978-5-222-31157-8. - </w:t>
      </w:r>
      <w:r>
        <w:rPr>
          <w:rFonts w:eastAsia="Times New Roman"/>
          <w:color w:val="0F1419"/>
          <w:sz w:val="28"/>
          <w:szCs w:val="28"/>
        </w:rPr>
        <w:t>Текст: непосредственный.</w:t>
      </w:r>
    </w:p>
    <w:p w14:paraId="38098D2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</w:p>
    <w:p w14:paraId="3E20D9F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  <w:t>Книга с 2 авторами</w:t>
      </w:r>
    </w:p>
    <w:p w14:paraId="3744B1A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описании книги с двумя авторами указывается фамилия первого, а за косой чертой перечисляются оба автора с инициалами перед фамилией:</w:t>
      </w:r>
    </w:p>
    <w:p w14:paraId="1B88CE8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0281095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 xml:space="preserve">Плотникова, И. Ю. Стандартизация и подтверждение соответствия: учебник </w:t>
      </w:r>
      <w:r>
        <w:rPr>
          <w:rFonts w:ascii="Times New Roman" w:hAnsi="Times New Roman" w:eastAsia="Times New Roman" w:cs="Times New Roman"/>
          <w:sz w:val="28"/>
          <w:szCs w:val="28"/>
        </w:rPr>
        <w:t>для студентов учреждений среднего профессионального образования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 xml:space="preserve"> / И. Ю. Плотникова, Т, А. Черниченко. – Москва: Издательский центр «Академия», 2018. – 192 с. – </w:t>
      </w:r>
      <w:r>
        <w:rPr>
          <w:rFonts w:ascii="Times New Roman" w:hAnsi="Times New Roman" w:cs="Times New Roman"/>
          <w:sz w:val="28"/>
          <w:szCs w:val="28"/>
        </w:rPr>
        <w:t xml:space="preserve">ISBN 978-5-44687188-9. - 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Текст: непосредственный.</w:t>
      </w:r>
    </w:p>
    <w:p w14:paraId="78EDA6B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1829963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  <w:t>Книга с 3 авторами</w:t>
      </w:r>
    </w:p>
    <w:p w14:paraId="39E10BE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описании книги с тремя авторами указывается фамилия первого, а за косой чертой перечисляются все три автора с инициалами перед фамилией</w:t>
      </w:r>
    </w:p>
    <w:p w14:paraId="5FEE8B3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2F70A26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Мартинчик, А. Н. Микробиология, физиология питания, санитария: учебник для студентов средних профессиональных учебных заведений / А. Н. Мартинчик, А. А. Королёв, Ю. В. Несвижский. – Москва: Издательский центр «Академия», 2010. – 352 с. –</w:t>
      </w:r>
      <w:r>
        <w:rPr>
          <w:rFonts w:ascii="Times New Roman" w:hAnsi="Times New Roman" w:cs="Times New Roman"/>
          <w:sz w:val="28"/>
          <w:szCs w:val="28"/>
        </w:rPr>
        <w:t xml:space="preserve"> ISBN 978-5-7695-6238-9. - 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Текст: непосредственный.</w:t>
      </w:r>
    </w:p>
    <w:p w14:paraId="3F9F30E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</w:p>
    <w:p w14:paraId="130C1B3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  <w:t>Книга с 4 авторами</w:t>
      </w:r>
    </w:p>
    <w:p w14:paraId="20C4E5E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Если книга написана четырьмя авторами, то после заглавия за косой чертой указываются все четыре автора</w:t>
      </w:r>
    </w:p>
    <w:p w14:paraId="16D98B6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color w:val="0F1419"/>
          <w:sz w:val="28"/>
          <w:szCs w:val="28"/>
        </w:rPr>
      </w:pPr>
    </w:p>
    <w:p w14:paraId="1412E76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Математика и информатика: учебник для студентов учреждений среднего профессионального образования / Ю. Н. Виноградов, А. И. Гомола, В. И. Потапов, Е. В. Соколова. – 4-е изд., стер., - Москва: Издательский Центр «Академия», 2011. – 272 с.</w:t>
      </w:r>
      <w:r>
        <w:rPr>
          <w:rFonts w:ascii="Times New Roman" w:hAnsi="Times New Roman" w:cs="Times New Roman"/>
          <w:sz w:val="28"/>
          <w:szCs w:val="28"/>
        </w:rPr>
        <w:t xml:space="preserve"> - ISBN 978-5-222-31157-8.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 xml:space="preserve"> – Текст: непосредственный.</w:t>
      </w:r>
    </w:p>
    <w:p w14:paraId="614159A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color w:val="0F1419"/>
          <w:sz w:val="28"/>
          <w:szCs w:val="28"/>
        </w:rPr>
      </w:pPr>
    </w:p>
    <w:p w14:paraId="68D8B2E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  <w:t>Книга с 5 и более авторами, под редакцией</w:t>
      </w:r>
    </w:p>
    <w:p w14:paraId="61BB638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Если книга написана пятью и более авторами, то после заглавия за косой чертой указываются три автора и добавляется [и др.]. Если есть редактор, то указываем редактора (под редакцией). </w:t>
      </w:r>
    </w:p>
    <w:p w14:paraId="03B1D0B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5B1DE95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 xml:space="preserve">Аналитическая химия: учебник для студентов средних профессиональных учебных заведений / Ю. М. Глубоков, В. А. Головачев, Ю. А. Ефимова [и др.]; под редакцией А. А. Ищенко. – Москва: Издательский центр «Академия», 2008. – 320 с. - </w:t>
      </w:r>
      <w:r>
        <w:rPr>
          <w:rFonts w:ascii="Times New Roman" w:hAnsi="Times New Roman" w:cs="Times New Roman"/>
          <w:sz w:val="28"/>
          <w:szCs w:val="28"/>
        </w:rPr>
        <w:t xml:space="preserve">ISBN 978-5-7695-5265-6. - 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Текст: непосредственный.</w:t>
      </w:r>
    </w:p>
    <w:p w14:paraId="1FAE12D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5F677B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Книга под заглавием (без автора)</w:t>
      </w:r>
    </w:p>
    <w:p w14:paraId="38FBC57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диагностика финансово-хозяйственной деятельности предприятия: учебник / под ред. В. Я. Позднякова. — Москва: Инфра-М, 2010.— 617 с.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ISBN 978-5-16-003462-1. 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– Текст: непосредственный.</w:t>
      </w:r>
    </w:p>
    <w:p w14:paraId="7FF1F98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color w:val="0F1419"/>
          <w:sz w:val="28"/>
          <w:szCs w:val="28"/>
        </w:rPr>
      </w:pPr>
      <w:r>
        <w:rPr>
          <w:rStyle w:val="8"/>
          <w:rFonts w:ascii="Times New Roman" w:hAnsi="Times New Roman" w:cs="Times New Roman"/>
          <w:bCs w:val="0"/>
          <w:color w:val="353535"/>
          <w:sz w:val="28"/>
          <w:szCs w:val="28"/>
        </w:rPr>
        <w:t>Научные издания (монография)</w:t>
      </w:r>
    </w:p>
    <w:p w14:paraId="4AEFD2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Квартальнов, В. А. Стратегический менеджмент в туризме. Современный опыт управления: монография / В.А. Квартальнов. – Москва: Финансы и статистика, 1999. – 496с. – ISBN 5-279-01926-7. - Текст: непосредственный.</w:t>
      </w:r>
    </w:p>
    <w:p w14:paraId="21D580F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EA72D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Многочастные (многотомные) ресурсы</w:t>
      </w:r>
    </w:p>
    <w:p w14:paraId="362619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Издание в целом</w:t>
      </w:r>
    </w:p>
    <w:p w14:paraId="559D1E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Российская энциклопедия: в 30 т. / науч.-ред. совет: Ю. С. Осипов (пред.) [и др.]. — Москва: Большая российская энциклопедия, 2005. – Текст непосредственный.</w:t>
      </w:r>
    </w:p>
    <w:p w14:paraId="3EC220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Отдельный том (часть)</w:t>
      </w:r>
    </w:p>
    <w:p w14:paraId="56046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педагогическая энциклопедия: в 2 томах. Т 1: А-М / гл. ред. В. В. Давыдов. – Москва: Большая российская энциклопедия, 1993. – 608 с. – ISBN 5-85270-140-8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14:paraId="53B19A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Производственное обучение профессии «Повар»: в 4 ч. Ч. 1 Механическая кулинарная обработка продуктов : учебное пособие для начального профессионального образования / В. П. Андросов, Т. В. Пыжова, Л. И. Федорченко [и др.]. – 7-е изд., стер. – Москва: Издательский центр «Академия», 2013. – 112 С. - ISBN 978-5-4468-0057-5. - Текст: непосредственный.</w:t>
      </w:r>
    </w:p>
    <w:p w14:paraId="38D3E54D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сборника материалов конференций</w:t>
      </w:r>
    </w:p>
    <w:p w14:paraId="324B4FE6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Туризм: подготовка кадров, проблемы и перспективы развития: сборник материалов Международной научно-практической конференции (Москва, 23-24 марта 2006 г.). – Москва: Прометей, 2006. – 200 с. - 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Текст: непосредственный..</w:t>
      </w:r>
    </w:p>
    <w:p w14:paraId="2E4D690D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621E39D0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 w:eastAsia="Times New Roman" w:cs="Times New Roman"/>
          <w:color w:val="35353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53535"/>
          <w:sz w:val="28"/>
          <w:szCs w:val="28"/>
        </w:rPr>
        <w:t>Законодательные материалы, правила, стандарты</w:t>
      </w:r>
    </w:p>
    <w:p w14:paraId="6E8C44C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353535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353535"/>
          <w:sz w:val="28"/>
          <w:szCs w:val="28"/>
        </w:rPr>
        <w:t>При включении в список литературы законодательных материалов (законы РФ, постановления Правительства, кодексы и т.д.), стандартов, нормативно-технической документации (ГОСТы, СНиПы, СанПиНы, ЕНиРы, ТЕРы и т.д.) </w:t>
      </w:r>
      <w:r>
        <w:rPr>
          <w:rFonts w:ascii="Times New Roman" w:hAnsi="Times New Roman" w:eastAsia="Times New Roman" w:cs="Times New Roman"/>
          <w:b/>
          <w:bCs/>
          <w:i/>
          <w:iCs/>
          <w:color w:val="353535"/>
          <w:sz w:val="28"/>
          <w:szCs w:val="28"/>
        </w:rPr>
        <w:t>необходимо проверить их статус (действующий)</w:t>
      </w:r>
      <w:r>
        <w:rPr>
          <w:rFonts w:ascii="Times New Roman" w:hAnsi="Times New Roman" w:eastAsia="Times New Roman" w:cs="Times New Roman"/>
          <w:i/>
          <w:iCs/>
          <w:color w:val="353535"/>
          <w:sz w:val="28"/>
          <w:szCs w:val="28"/>
        </w:rPr>
        <w:t>.</w:t>
      </w:r>
    </w:p>
    <w:p w14:paraId="10F27E1E">
      <w:pPr>
        <w:pStyle w:val="12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 описании законодательных материалов в квадратных скобках приводят дату их введения (принятия). </w:t>
      </w:r>
    </w:p>
    <w:p w14:paraId="78973132">
      <w:pPr>
        <w:pStyle w:val="12"/>
        <w:spacing w:line="360" w:lineRule="auto"/>
        <w:jc w:val="both"/>
        <w:rPr>
          <w:sz w:val="28"/>
          <w:szCs w:val="28"/>
        </w:rPr>
      </w:pPr>
    </w:p>
    <w:p w14:paraId="4098BCF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Российская Федерация. Законы. Налоговый кодекс Российской Федерации: часть вторая: официальный текст по состоянию на 30.01.2001 года с изменениями и дополнениями согласно Федеральному Закону от 29.12.2000 года № 166-ФЗ / Российская Федерация. Закон; Ассоциация авторов и издателей «Тандем». – Москва : ЭКСМО, 2001. – 136 с. – Текст: непосредственный.</w:t>
      </w:r>
    </w:p>
    <w:p w14:paraId="349124B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color w:val="FF0000"/>
          <w:sz w:val="28"/>
          <w:szCs w:val="28"/>
        </w:rPr>
      </w:pPr>
    </w:p>
    <w:p w14:paraId="71686BCB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F1419"/>
          <w:sz w:val="28"/>
          <w:szCs w:val="28"/>
        </w:rPr>
        <w:t>Кодекс Российской Федерации об административных правонарушениях: текст с изменениями и дополнениями на 1 февраля 2022 года +сравнительная таблица +путеводитель по судебной практике:</w:t>
      </w:r>
      <w:r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[принят Государственной думой 20 декабря 2001 года: одобрен Советом Федерации 26 декабря 2001 года]. – Москва: Эксмо, 2022. – 976 с. – (Актуальное законодательство), - Текст: непосредственный</w:t>
      </w:r>
      <w:r>
        <w:rPr>
          <w:sz w:val="28"/>
          <w:szCs w:val="28"/>
        </w:rPr>
        <w:t>.</w:t>
      </w:r>
    </w:p>
    <w:p w14:paraId="56B16F0F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14:paraId="243B46DC">
      <w:pPr>
        <w:shd w:val="clear" w:color="auto" w:fill="FFFFFF"/>
        <w:spacing w:after="0" w:line="360" w:lineRule="auto"/>
        <w:jc w:val="both"/>
        <w:rPr>
          <w:rFonts w:ascii="Arial" w:hAnsi="Arial" w:eastAsia="Times New Roman" w:cs="Arial"/>
          <w:b/>
          <w:bCs/>
          <w:color w:val="0F1419"/>
          <w:sz w:val="28"/>
          <w:szCs w:val="28"/>
        </w:rPr>
      </w:pPr>
    </w:p>
    <w:p w14:paraId="47E5F7D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iCs/>
          <w:color w:val="35353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Cs/>
          <w:color w:val="353535"/>
          <w:sz w:val="28"/>
          <w:szCs w:val="28"/>
        </w:rPr>
        <w:t>Стандарты</w:t>
      </w:r>
    </w:p>
    <w:p w14:paraId="6964B22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iCs/>
          <w:color w:val="353535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описании нормативных ресурсов приводят их обозначение, дату введения (принятия), сведения о ресурсе, вместо которого введѐн (принят) данный ресурс. </w:t>
      </w:r>
    </w:p>
    <w:p w14:paraId="537716E9">
      <w:pPr>
        <w:pStyle w:val="12"/>
        <w:spacing w:line="360" w:lineRule="auto"/>
        <w:jc w:val="both"/>
        <w:rPr>
          <w:sz w:val="28"/>
          <w:szCs w:val="28"/>
        </w:rPr>
      </w:pPr>
    </w:p>
    <w:p w14:paraId="44F9B6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Р 55505-2015. Фарш рыбный пищевой мороженый: технические условия: издание официальное: утвержден и введен в действие Приказом Федерального агентства по техническому регулированию и метрологии от 29 июля 2013 г. № 465-ст: введен впервые: дата введения 2015-01-01. – Москва: Стандартинформ, 2014. – II, 10 с. - Текст: непосредственный.</w:t>
      </w:r>
    </w:p>
    <w:p w14:paraId="4F6DD1B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</w:p>
    <w:p w14:paraId="0247FC57">
      <w:pPr>
        <w:shd w:val="clear" w:color="auto" w:fill="FFFFFF"/>
        <w:spacing w:after="0" w:line="360" w:lineRule="auto"/>
        <w:jc w:val="both"/>
        <w:rPr>
          <w:rFonts w:ascii="Arial" w:hAnsi="Arial" w:eastAsia="Times New Roman" w:cs="Arial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Р 51303-2013. Торговля. Термины и определения: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– Москва: Стандартинформ, 2014. - 22 c. - Текст: непосредственный</w:t>
      </w:r>
      <w:r>
        <w:rPr>
          <w:sz w:val="28"/>
          <w:szCs w:val="28"/>
        </w:rPr>
        <w:t>.</w:t>
      </w:r>
    </w:p>
    <w:p w14:paraId="215D1C71">
      <w:pPr>
        <w:pStyle w:val="14"/>
        <w:tabs>
          <w:tab w:val="left" w:pos="284"/>
        </w:tabs>
        <w:spacing w:line="360" w:lineRule="auto"/>
        <w:ind w:left="0" w:right="153" w:firstLine="0"/>
        <w:rPr>
          <w:b/>
          <w:bCs/>
          <w:color w:val="0F1419"/>
          <w:sz w:val="28"/>
          <w:szCs w:val="28"/>
        </w:rPr>
      </w:pPr>
    </w:p>
    <w:p w14:paraId="3E55FE06">
      <w:pPr>
        <w:pStyle w:val="14"/>
        <w:tabs>
          <w:tab w:val="left" w:pos="284"/>
        </w:tabs>
        <w:spacing w:line="360" w:lineRule="auto"/>
        <w:ind w:left="0" w:right="153" w:firstLine="0"/>
        <w:rPr>
          <w:sz w:val="28"/>
          <w:szCs w:val="28"/>
        </w:rPr>
      </w:pPr>
      <w:r>
        <w:rPr>
          <w:sz w:val="28"/>
          <w:szCs w:val="28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14:paraId="3651BCC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864116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353535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353535"/>
          <w:sz w:val="28"/>
          <w:szCs w:val="28"/>
        </w:rPr>
        <w:t>Правила пожарной безопасности в Российской Федерации. ППБ 01-03</w:t>
      </w:r>
      <w:r>
        <w:rPr>
          <w:rFonts w:ascii="Times New Roman" w:hAnsi="Times New Roman" w:eastAsia="Times New Roman" w:cs="Times New Roman"/>
          <w:color w:val="353535"/>
          <w:sz w:val="28"/>
          <w:szCs w:val="28"/>
        </w:rPr>
        <w:t>: правила введ. в действие 30 июня 2003 г. / Государственная противопожарная служба. – Москва: ЭНАС, 2006. – 143 с. – Текст: непосредственный.</w:t>
      </w:r>
    </w:p>
    <w:p w14:paraId="2AB1A72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2E454E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E454E"/>
          <w:sz w:val="28"/>
          <w:szCs w:val="28"/>
        </w:rPr>
        <w:t>Описание составной  части ресурсов (на бумажном носителе)</w:t>
      </w:r>
    </w:p>
    <w:p w14:paraId="5E35757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2E454E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описания статей из сборников, журналов и газет, после данных об авторе и названии статьи, за двумя косыми чертами указывается источник (название журнала, газеты, сборника), место, год, номер или выпуск, страницы, занимаемые статьѐй.</w:t>
      </w:r>
      <w:r>
        <w:rPr>
          <w:i/>
          <w:iCs/>
          <w:sz w:val="28"/>
          <w:szCs w:val="28"/>
        </w:rPr>
        <w:t>Сокращать заглавие идентифицирующего документа (название журнала) не рекомендуется. Вид содержания ресурса (Текст : непосредственный) указывается перед названием идентифицирующего ресурса</w:t>
      </w:r>
    </w:p>
    <w:p w14:paraId="600390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Статьи из сборников, главы, разделы  книг</w:t>
      </w:r>
    </w:p>
    <w:p w14:paraId="3BF9ACAB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из книги одного автора</w:t>
      </w:r>
    </w:p>
    <w:p w14:paraId="4E02B3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Тимохина,Т. Л. Теоретические основы организации гостиничного дела / Т.Л.Тимохина. – Текст: непосредственный  // Гостиничный сервис: учебник для СПО / Т.Л. Тимохина. – Москва: Издательство Юрайт, 2019. –Глава 1. -  С. 10-72.</w:t>
      </w:r>
    </w:p>
    <w:p w14:paraId="5FB9182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из сборника </w:t>
      </w:r>
      <w:r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  <w:t>материалов научной конференции</w:t>
      </w:r>
    </w:p>
    <w:p w14:paraId="633D60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Джанджугазова Е. А. Философия отелей, или новые концептуальные решения в гостиничном бизнесе  / Е. А. Джанджугазова. – Текст: непосредственный // Туризм: подготовка кадров, проблемы и перспективы развития: сборник материалов Международной научно-практической конференции, Москва, 23-24 марта 2006 г.– Москва: Прометей, 2006. – С.51-55</w:t>
      </w:r>
    </w:p>
    <w:p w14:paraId="7998F9A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  <w:t>Статьи из сборника научных трудов</w:t>
      </w:r>
    </w:p>
    <w:p w14:paraId="1DC5C71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Иванов А. И. Влияние систем удобрения на основе сапропеля на питательный режим дерново-подзолистых почв / А.И. Иванов, Д. А. Моисеев, Т.Г. Зуева. – Текст: непосредственный // Гумус и почвообразование: сборник научных трудов / Санкт-Петербургский государственный аграрный университет. – Санкт-Петербург, 2002. – С. 64-66.</w:t>
      </w:r>
    </w:p>
    <w:p w14:paraId="7AE84F0C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Статьи из справочного издания</w:t>
      </w:r>
    </w:p>
    <w:p w14:paraId="34071C71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Глазьев С. Ю. Безопасность экономическая / С. Ю. Глазьев.– Текст: непосредственный // Политическая энциклопедия: в 2 т. / рук. науч. проекта  Г. Ю. Семигин. – Москва: 1999. -  Т. 1: А – М.  - С. 113.</w:t>
      </w:r>
    </w:p>
    <w:p w14:paraId="7ECC685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Описание автореферата диссертации и диссертации</w:t>
      </w:r>
    </w:p>
    <w:p w14:paraId="65D5D13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Арбузов С. Ю. Конституционно-правовые основы формирования</w:t>
      </w:r>
    </w:p>
    <w:p w14:paraId="03BB93B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социального государства в Российской Федерации : автореф. дис ... канд.</w:t>
      </w:r>
    </w:p>
    <w:p w14:paraId="7D92C24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юрид. наук / С. Ю. Арбузов. - Санкт-Петербург, 2014 - 18 с.</w:t>
      </w:r>
    </w:p>
    <w:p w14:paraId="1647C4B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</w:p>
    <w:p w14:paraId="52A8509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Оленина Т. Ю. Административно-правовой статус учреждения</w:t>
      </w:r>
    </w:p>
    <w:p w14:paraId="0FC86AC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начального профессионального образования : дис. … канд. юрид. наук / Т.</w:t>
      </w:r>
    </w:p>
    <w:p w14:paraId="2B33311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Ю. Оленина. – Москва, 2011 –276 с.</w:t>
      </w:r>
    </w:p>
    <w:p w14:paraId="63C0C4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543C07D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Статьи из периодических изданий</w:t>
      </w:r>
    </w:p>
    <w:p w14:paraId="53EAACA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из журналов</w:t>
      </w:r>
    </w:p>
    <w:p w14:paraId="707CC8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одного автора</w:t>
      </w:r>
    </w:p>
    <w:p w14:paraId="71F2C814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Топадзе, Д. Парадокс кофейни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/Д. Топадзе. – Текст: непосредственный// Общепит: бизнес и искусство. – 2023. - № 2. – С.48-55.</w:t>
      </w:r>
    </w:p>
    <w:p w14:paraId="3C96A9AC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пяти авторов и более</w:t>
      </w:r>
    </w:p>
    <w:p w14:paraId="18B61552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практика при применении отдельных норм законодательства о наследовании / С. А. Запорожец, А. П. Никитина, С. И. Марченко [и др.]. – Текст: непосредственный // Российский судья. – 2018. – С. 20-24.</w:t>
      </w:r>
    </w:p>
    <w:p w14:paraId="7C4E0D3C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6D289BA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Статья, опубликованная в нескольких номерах журнала</w:t>
      </w:r>
    </w:p>
    <w:p w14:paraId="0C2F7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Звягинцев, А. Г. Суд над нацизмом. «Процесс века»: как это было / А. Г. Звягинцев. – Текст: непосредственный. -  // Основы безопасности жизнедеятельности. – 2020. - №11. – С.52-57 , № 12. – С.52-57</w:t>
      </w:r>
    </w:p>
    <w:p w14:paraId="0497482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из газет:</w:t>
      </w:r>
    </w:p>
    <w:p w14:paraId="78F368CB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Громцев, А. Экология плюс экономика: как сохранить леса Карелии / А. Громцев. – Текст: непосредственный  // Карелия. – 2019. – 28 февр. – С. 15.</w:t>
      </w:r>
    </w:p>
    <w:p w14:paraId="239603A3">
      <w:pPr>
        <w:shd w:val="clear" w:color="auto" w:fill="FFFFFF"/>
        <w:spacing w:after="0" w:line="360" w:lineRule="auto"/>
        <w:jc w:val="both"/>
        <w:rPr>
          <w:rFonts w:ascii="Arial" w:hAnsi="Arial" w:eastAsia="Times New Roman" w:cs="Arial"/>
          <w:color w:val="0F1419"/>
          <w:sz w:val="28"/>
          <w:szCs w:val="28"/>
        </w:rPr>
      </w:pPr>
      <w:r>
        <w:rPr>
          <w:rFonts w:ascii="Arial" w:hAnsi="Arial" w:eastAsia="Times New Roman" w:cs="Arial"/>
          <w:color w:val="0F1419"/>
          <w:sz w:val="28"/>
          <w:szCs w:val="28"/>
        </w:rPr>
        <w:t> </w:t>
      </w:r>
    </w:p>
    <w:p w14:paraId="496D0477">
      <w:pPr>
        <w:pStyle w:val="12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Электронные ресурсы</w:t>
      </w:r>
    </w:p>
    <w:p w14:paraId="78BAA45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F1419"/>
          <w:sz w:val="28"/>
          <w:szCs w:val="28"/>
        </w:rPr>
      </w:pPr>
    </w:p>
    <w:p w14:paraId="7F69D209">
      <w:pPr>
        <w:pStyle w:val="12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Этот раздел в новом ГОСТе существенно изменен. </w:t>
      </w:r>
    </w:p>
    <w:p w14:paraId="5756E3FF">
      <w:pPr>
        <w:pStyle w:val="12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Отменен ряд элементов (не приводятся специфические сведения о виде ресурса, примечания о заглавии теперь есть только в описании дисков). </w:t>
      </w:r>
    </w:p>
    <w:p w14:paraId="60A4B063">
      <w:pPr>
        <w:pStyle w:val="12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Перед электронным адресом приводится аббревиатура URL. После адреса обязательно указывать дату обращения к ресурсу. Примечание «Режим доступа» осталось только для указания особенностей доступа к ресурсам (по подписке, в локальной сети и т.п.). </w:t>
      </w:r>
    </w:p>
    <w:p w14:paraId="676C31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2E454E"/>
          <w:sz w:val="28"/>
          <w:szCs w:val="28"/>
        </w:rPr>
      </w:pPr>
    </w:p>
    <w:p w14:paraId="51CE62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2E454E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E454E"/>
          <w:sz w:val="28"/>
          <w:szCs w:val="28"/>
        </w:rPr>
        <w:t>Описание локальных электронных ресурсов</w:t>
      </w:r>
    </w:p>
    <w:p w14:paraId="45A005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2E454E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Матюхина, З.П. Товароведение пищевых продуктов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учебник для студ. учреждений среднего профессионального образования/ З.П. Матюхина. – 7-е изд.,</w:t>
      </w:r>
      <w:r>
        <w:rPr>
          <w:rFonts w:ascii="Times New Roman" w:hAnsi="Times New Roman"/>
          <w:color w:val="000000"/>
          <w:sz w:val="28"/>
          <w:szCs w:val="28"/>
        </w:rPr>
        <w:t xml:space="preserve"> стер. - Москва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Издательский центр «</w:t>
      </w:r>
      <w:r>
        <w:rPr>
          <w:rFonts w:ascii="Times New Roman" w:hAnsi="Times New Roman" w:eastAsia="Calibri" w:cs="Times New Roman"/>
          <w:bCs/>
          <w:sz w:val="28"/>
          <w:szCs w:val="28"/>
        </w:rPr>
        <w:t>Академия»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, 2017.</w:t>
      </w:r>
      <w:r>
        <w:rPr>
          <w:rFonts w:ascii="Times New Roman" w:hAnsi="Times New Roman" w:eastAsia="Calibri" w:cs="Times New Roman"/>
          <w:sz w:val="28"/>
          <w:szCs w:val="28"/>
        </w:rPr>
        <w:t xml:space="preserve"> / 1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CD</w:t>
      </w:r>
      <w:r>
        <w:rPr>
          <w:rFonts w:ascii="Times New Roman" w:hAnsi="Times New Roman" w:eastAsia="Calibri" w:cs="Times New Roman"/>
          <w:sz w:val="28"/>
          <w:szCs w:val="28"/>
        </w:rPr>
        <w:t>-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ROM</w:t>
      </w:r>
      <w:r>
        <w:rPr>
          <w:rFonts w:ascii="Times New Roman" w:hAnsi="Times New Roman" w:eastAsia="Calibri" w:cs="Times New Roman"/>
          <w:sz w:val="28"/>
          <w:szCs w:val="28"/>
        </w:rPr>
        <w:t>. – Загл. с титул. экрана. - Текст: электронный</w:t>
      </w:r>
      <w:r>
        <w:rPr>
          <w:rFonts w:ascii="Times New Roman" w:hAnsi="Times New Roman"/>
          <w:sz w:val="28"/>
          <w:szCs w:val="28"/>
        </w:rPr>
        <w:t>.</w:t>
      </w:r>
    </w:p>
    <w:p w14:paraId="4B98037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КонсультантПлюс: Электронная библиотека студента: учебники и книги из разных выпусков диска «КонсультантПлюс: Высшая школа». – Специальное подарочное издание. – Москва: КонсультантПлюс, 2009. – 1 электронный оптический диск (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ROM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 12 см. – (Лучшим студентам России) (Надежная правовая поддержкап). – Минимальные системные требования: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: Windows ME/NT4/2000/XP; DVD-ROM; 128 Мб оперативной памяти. - Загл. с этикетки диска.- Текст: электронный.</w:t>
      </w:r>
    </w:p>
    <w:p w14:paraId="5BD8A440">
      <w:pPr>
        <w:pStyle w:val="12"/>
        <w:spacing w:line="360" w:lineRule="auto"/>
        <w:jc w:val="both"/>
        <w:rPr>
          <w:b/>
          <w:color w:val="auto"/>
          <w:sz w:val="28"/>
          <w:szCs w:val="28"/>
        </w:rPr>
      </w:pPr>
      <w:r>
        <w:rPr>
          <w:rFonts w:eastAsia="Times New Roman"/>
          <w:b/>
          <w:bCs/>
          <w:color w:val="2E454E"/>
          <w:sz w:val="28"/>
          <w:szCs w:val="28"/>
        </w:rPr>
        <w:t xml:space="preserve">Описание </w:t>
      </w:r>
      <w:r>
        <w:rPr>
          <w:b/>
          <w:color w:val="auto"/>
          <w:sz w:val="28"/>
          <w:szCs w:val="28"/>
        </w:rPr>
        <w:t xml:space="preserve"> электронных ресурсов сетевого распространения </w:t>
      </w:r>
    </w:p>
    <w:p w14:paraId="357AEFBC">
      <w:pPr>
        <w:pStyle w:val="12"/>
        <w:spacing w:line="360" w:lineRule="auto"/>
        <w:jc w:val="both"/>
        <w:rPr>
          <w:b/>
          <w:color w:val="auto"/>
          <w:sz w:val="28"/>
          <w:szCs w:val="28"/>
        </w:rPr>
      </w:pPr>
    </w:p>
    <w:p w14:paraId="04392E63">
      <w:pPr>
        <w:pStyle w:val="12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Министерство просвещения Российской Федерации: официальный сайт. – URL: https://edu.gov.ru/ (дата обращения: 29.09.2022). – Текст: электронный </w:t>
      </w:r>
    </w:p>
    <w:p w14:paraId="630AD48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>Российское образование: федеральный портал. – URL: http://www.edu.ru/ (дата обращения: 29.09.2022). – Текст: электронный.</w:t>
      </w:r>
    </w:p>
    <w:p w14:paraId="267A090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Российское образование: федеральный портал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URL: </w:t>
      </w:r>
      <w:r>
        <w:fldChar w:fldCharType="begin"/>
      </w:r>
      <w:r>
        <w:instrText xml:space="preserve"> HYPERLINK "https://edu.ru/"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bCs/>
          <w:color w:val="auto"/>
          <w:sz w:val="28"/>
          <w:szCs w:val="28"/>
        </w:rPr>
        <w:t>https://edu.ru/</w:t>
      </w:r>
      <w:r>
        <w:rPr>
          <w:rStyle w:val="7"/>
          <w:rFonts w:ascii="Times New Roman" w:hAnsi="Times New Roman" w:eastAsia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(дата обращения: …). – Текст: электронный.</w:t>
      </w:r>
    </w:p>
    <w:p w14:paraId="578AC9A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 : официальный сайт. - 2017. - URL: https://rosmintrud.ru/docs/1281 (дата обращения: 08.04.2017). - Текст: электронный.</w:t>
      </w:r>
    </w:p>
    <w:p w14:paraId="41C9E20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247F817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eLIBRARY.RU</w:t>
      </w:r>
      <w:r>
        <w:rPr>
          <w:rFonts w:ascii="Times New Roman" w:hAnsi="Times New Roman" w:eastAsia="Times New Roman" w:cs="Times New Roman"/>
          <w:sz w:val="28"/>
          <w:szCs w:val="28"/>
        </w:rPr>
        <w:t>: научная электронная библиотека: сайт. - Москва, 2000 - . - URL: https://elibrary.ru (дата обращения: 25.03.2019). - Режим доступа: для зарегистрированных пользователей. - Текст: электронный.</w:t>
      </w:r>
    </w:p>
    <w:p w14:paraId="19C64A17">
      <w:pPr>
        <w:pStyle w:val="12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ЮРАЙТ: электронная библиотечная система: сайт. - Москва, 2013. – URL: https://biblio-online.ru/ (дата обращения: 03.12.2019). - Текст: электронный.</w:t>
      </w:r>
    </w:p>
    <w:p w14:paraId="634E7EA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color w:val="0F1419"/>
          <w:sz w:val="28"/>
          <w:szCs w:val="28"/>
        </w:rPr>
        <w:t>Статьи с сайтов</w:t>
      </w:r>
    </w:p>
    <w:p w14:paraId="4DE200D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158A37A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Порядок присвоения номера ISBN // Российская книжная палата: [сайт]. - 2018. - URL: </w:t>
      </w:r>
      <w:r>
        <w:fldChar w:fldCharType="begin"/>
      </w:r>
      <w:r>
        <w:instrText xml:space="preserve"> HYPERLINK "http://bookchamber.ru/isbn.html"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http://bookchamber.ru/isbn.html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 (дата обращения: 22.05.2015). - Текст: электронный.</w:t>
      </w:r>
    </w:p>
    <w:p w14:paraId="226084F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0FF8F63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Репьев А.П. Язык рекламы / А.П. Репьев // Состав.ру [сайт]. – 2020. - URL: </w:t>
      </w:r>
      <w:r>
        <w:fldChar w:fldCharType="begin"/>
      </w:r>
      <w:r>
        <w:instrText xml:space="preserve"> HYPERLINK "https://www.sostav.ru/articles/2002/04/24/rec240402/"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https://www.sostav.ru/articles/2002/04/24/rec240402/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(дата обращения: 15.02.2020). - Текст: электронный.</w:t>
      </w:r>
    </w:p>
    <w:p w14:paraId="31BD8772">
      <w:pPr>
        <w:pStyle w:val="12"/>
        <w:spacing w:line="360" w:lineRule="auto"/>
        <w:jc w:val="both"/>
        <w:rPr>
          <w:sz w:val="28"/>
          <w:szCs w:val="28"/>
        </w:rPr>
      </w:pPr>
    </w:p>
    <w:p w14:paraId="67A71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Официальные и нормативно-технические документы</w:t>
      </w:r>
    </w:p>
    <w:p w14:paraId="4B0C8AE7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информации, информационных технологиях и о защите информации: Федеральный закон N 149-ФЗ : принят Государственной Думой 8 июля 2006 г.: одобрен Советом Федерации 14 июля 2006 г.: послед. ред. // КонсультантПлюс: сайт. URL: http://www.consultant.ru/document/cons_doc_LAW_61798/ (дата обращения: 21.06.2021).</w:t>
      </w:r>
    </w:p>
    <w:p w14:paraId="4279E15D">
      <w:pPr>
        <w:pStyle w:val="12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N 287 : Приказ Министерства просвещения Российской Федерации от 18.07.2022 № 568 ∙// Официальный интернет-портал правовой информации. — URL: http://publication.pravo.gov.ru/Document/View/0001202208170012 (дата обращения : 12.09.2021). – Текст : электронный.</w:t>
      </w:r>
    </w:p>
    <w:p w14:paraId="126B1D69">
      <w:pPr>
        <w:pStyle w:val="12"/>
        <w:spacing w:line="360" w:lineRule="auto"/>
        <w:jc w:val="both"/>
        <w:rPr>
          <w:sz w:val="28"/>
          <w:szCs w:val="28"/>
        </w:rPr>
      </w:pPr>
    </w:p>
    <w:p w14:paraId="5885483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iCs/>
          <w:color w:val="0F1419"/>
          <w:sz w:val="28"/>
          <w:szCs w:val="28"/>
        </w:rPr>
      </w:pPr>
      <w:r>
        <w:rPr>
          <w:sz w:val="28"/>
          <w:szCs w:val="28"/>
        </w:rPr>
        <w:t xml:space="preserve">Гигиенические требования к срокам годности и условиям хранения пищевых продуктов: СанПиН 2.3.2.1324-03:  // Правовой стандарт : [сайт]. – URL: </w:t>
      </w:r>
      <w:r>
        <w:fldChar w:fldCharType="begin"/>
      </w:r>
      <w:r>
        <w:instrText xml:space="preserve"> HYPERLINK "https://pravovoy-standart.ru/wp-content/uploads/2019/03/4293855459.pdf"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t>https://pravovoy-standart.ru/wp-content/uploads/2019/03/4293855459.pdf</w:t>
      </w:r>
      <w:r>
        <w:rPr>
          <w:rStyle w:val="7"/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Cs/>
          <w:iCs/>
          <w:color w:val="0F1419"/>
          <w:sz w:val="28"/>
          <w:szCs w:val="28"/>
        </w:rPr>
        <w:t>. - Текст: электронный.</w:t>
      </w:r>
    </w:p>
    <w:p w14:paraId="3827010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Cs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color w:val="0F1419"/>
          <w:sz w:val="28"/>
          <w:szCs w:val="28"/>
        </w:rPr>
        <w:t>Книги из ЭБС</w:t>
      </w:r>
    </w:p>
    <w:p w14:paraId="1A05CD81">
      <w:pPr>
        <w:pStyle w:val="12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Свириденко, Ю. П. Сервисная деятельность в обслуживании населения: учебное пособие для СПО / Ю. П. Свириденко, В. В. Хмелев. — 2-е изд., стер. — Санкт-Петербург: Лань, 2022. — 192 с. — ISBN 978-5-8114-9455-2. — Текст: электронный // Лань: электронно-библиотечная система. — URL: https://e.lanbook.com/book/195460 (дата обращения: 10.03.2023). — Режим доступа: для авторизованных пользователей.</w:t>
      </w:r>
      <w:r>
        <w:rPr>
          <w:color w:val="auto"/>
          <w:sz w:val="28"/>
          <w:szCs w:val="28"/>
        </w:rPr>
        <w:t xml:space="preserve"> </w:t>
      </w:r>
    </w:p>
    <w:p w14:paraId="19766AAA">
      <w:pPr>
        <w:pStyle w:val="12"/>
        <w:spacing w:line="360" w:lineRule="auto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Гришко, Н. И. Гостиничное хозяйство: учебное пособие / Н. И. Гришко. — Минск: РИПО, 2021. — 249 с. — ISBN 978-985-7234-98-1.—Текст: электронный //Лань: электронно-библиотечная система.—URL: https://e.lanbook.com/book/194934 (дата обращения: 10.03.2023). — Режим доступа: для авторизированных пользователей.</w:t>
      </w:r>
    </w:p>
    <w:p w14:paraId="0C8D5D2E">
      <w:pPr>
        <w:pStyle w:val="12"/>
        <w:spacing w:line="360" w:lineRule="auto"/>
        <w:jc w:val="both"/>
        <w:rPr>
          <w:color w:val="auto"/>
          <w:sz w:val="28"/>
          <w:szCs w:val="28"/>
          <w:shd w:val="clear" w:color="auto" w:fill="FFFFFF"/>
        </w:rPr>
      </w:pPr>
    </w:p>
    <w:p w14:paraId="1DCD7720">
      <w:pPr>
        <w:pStyle w:val="12"/>
        <w:spacing w:line="360" w:lineRule="auto"/>
        <w:jc w:val="both"/>
        <w:rPr>
          <w:b/>
          <w:bCs/>
          <w:sz w:val="28"/>
          <w:szCs w:val="28"/>
        </w:rPr>
      </w:pPr>
    </w:p>
    <w:p w14:paraId="6A672834">
      <w:pPr>
        <w:pStyle w:val="12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Статьи из журналов, представленных в электронном виде, статьи из электронных журналов </w:t>
      </w:r>
    </w:p>
    <w:p w14:paraId="1FE0CFDA">
      <w:pPr>
        <w:pStyle w:val="12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Библиографическое описание статей из электронных журналов аналогично описанию статей из печатных журналов. </w:t>
      </w:r>
    </w:p>
    <w:p w14:paraId="12EA0C9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</w:p>
    <w:p w14:paraId="3B3598D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Татаринцев В.Л. Гранулометрический состав и почвообразование / В.Л. Татаринцев, Л.М. Татаринцев // Вестник Алтайского государственного аграрного университета. – 2013. – № 10. – С. 17-23. – Текст: электронный // Электронно-библиотечная система «Лань»: [сайт].– URL: </w:t>
      </w:r>
      <w:r>
        <w:fldChar w:fldCharType="begin"/>
      </w:r>
      <w:r>
        <w:instrText xml:space="preserve"> HYPERLINK "https://e.lanbook.com/journal/issue/289237"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https://e.lanbook.com/journal/issue/289237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> (д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ата обращения 16.07.2019).– Режим доступа: для авториз. пользователей.</w:t>
      </w:r>
    </w:p>
    <w:p w14:paraId="112E1FDD">
      <w:pPr>
        <w:pStyle w:val="12"/>
        <w:spacing w:line="360" w:lineRule="auto"/>
        <w:jc w:val="both"/>
        <w:rPr>
          <w:sz w:val="28"/>
          <w:szCs w:val="28"/>
        </w:rPr>
      </w:pPr>
    </w:p>
    <w:p w14:paraId="7899946F">
      <w:pPr>
        <w:pStyle w:val="12"/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Информационная поддержка родителей посредством ИКТ / Н.Ю. Снаткина, Р.Р. Тарунина, Н.А. Хламова [и др]. – Текст: электронный // Молодой ученый. — 2018. – № 50 (236). — URL : https://moluch.ru/archive/236/54904/ (дата обращения: ).</w:t>
      </w:r>
    </w:p>
    <w:p w14:paraId="2992A403">
      <w:pPr>
        <w:pStyle w:val="12"/>
        <w:spacing w:line="360" w:lineRule="auto"/>
        <w:jc w:val="both"/>
        <w:rPr>
          <w:sz w:val="28"/>
          <w:szCs w:val="28"/>
        </w:rPr>
      </w:pPr>
    </w:p>
    <w:p w14:paraId="496A7C3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iCs/>
          <w:color w:val="0F1419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F1419"/>
          <w:sz w:val="28"/>
          <w:szCs w:val="28"/>
        </w:rPr>
        <w:t xml:space="preserve">Соловьева Ю.Н. Влияние корпоративной социальной ответственности на восприятие бренда работодателя / Ю.Н. Соловьева, С. Бустаманте . – Текст : электронный // Маркетинг и маркетинговые исследования. – 2018.  - №1. - </w:t>
      </w:r>
      <w:r>
        <w:rPr>
          <w:rFonts w:ascii="Times New Roman" w:hAnsi="Times New Roman" w:eastAsia="Times New Roman" w:cs="Times New Roman"/>
          <w:color w:val="0F1419"/>
          <w:sz w:val="28"/>
          <w:szCs w:val="28"/>
        </w:rPr>
        <w:t>С.42–52.   - URL: https://grebennikon.ru/article-f9r0.html (дата обращения:20.03.2023).</w:t>
      </w:r>
    </w:p>
    <w:p w14:paraId="57C6E536">
      <w:pPr>
        <w:spacing w:after="0" w:line="360" w:lineRule="auto"/>
        <w:jc w:val="both"/>
        <w:rPr>
          <w:sz w:val="28"/>
          <w:szCs w:val="28"/>
        </w:rPr>
      </w:pPr>
    </w:p>
    <w:p w14:paraId="5854F271">
      <w:pPr>
        <w:spacing w:after="0" w:line="360" w:lineRule="auto"/>
        <w:jc w:val="both"/>
        <w:rPr>
          <w:sz w:val="28"/>
          <w:szCs w:val="28"/>
        </w:rPr>
      </w:pPr>
    </w:p>
    <w:sectPr>
      <w:pgSz w:w="11906" w:h="16838"/>
      <w:pgMar w:top="1134" w:right="991" w:bottom="993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Arial Unicode MS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052CC"/>
    <w:multiLevelType w:val="multilevel"/>
    <w:tmpl w:val="27F052C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0E8582F"/>
    <w:multiLevelType w:val="multilevel"/>
    <w:tmpl w:val="40E858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4913A47"/>
    <w:multiLevelType w:val="multilevel"/>
    <w:tmpl w:val="74913A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6FC6A6B"/>
    <w:multiLevelType w:val="multilevel"/>
    <w:tmpl w:val="76FC6A6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6F"/>
    <w:rsid w:val="000024C3"/>
    <w:rsid w:val="00006ED7"/>
    <w:rsid w:val="00012BE2"/>
    <w:rsid w:val="000134DD"/>
    <w:rsid w:val="0003621A"/>
    <w:rsid w:val="00073DEC"/>
    <w:rsid w:val="00076607"/>
    <w:rsid w:val="000962B9"/>
    <w:rsid w:val="000B2B9F"/>
    <w:rsid w:val="000C4082"/>
    <w:rsid w:val="000E2BA9"/>
    <w:rsid w:val="000E5193"/>
    <w:rsid w:val="0010653A"/>
    <w:rsid w:val="00122B7B"/>
    <w:rsid w:val="00131CC7"/>
    <w:rsid w:val="00135D54"/>
    <w:rsid w:val="00145C9D"/>
    <w:rsid w:val="00156966"/>
    <w:rsid w:val="00173879"/>
    <w:rsid w:val="001805E0"/>
    <w:rsid w:val="001860D4"/>
    <w:rsid w:val="00187347"/>
    <w:rsid w:val="001B699D"/>
    <w:rsid w:val="001B6B08"/>
    <w:rsid w:val="001B6BA0"/>
    <w:rsid w:val="001C2263"/>
    <w:rsid w:val="001C555D"/>
    <w:rsid w:val="001D7302"/>
    <w:rsid w:val="001E2CC8"/>
    <w:rsid w:val="001E3145"/>
    <w:rsid w:val="002035ED"/>
    <w:rsid w:val="00217857"/>
    <w:rsid w:val="00236546"/>
    <w:rsid w:val="00263E07"/>
    <w:rsid w:val="00266BB6"/>
    <w:rsid w:val="002670FE"/>
    <w:rsid w:val="002778F8"/>
    <w:rsid w:val="00280F2B"/>
    <w:rsid w:val="002818F4"/>
    <w:rsid w:val="00284901"/>
    <w:rsid w:val="00293A09"/>
    <w:rsid w:val="002A19FE"/>
    <w:rsid w:val="002A4751"/>
    <w:rsid w:val="002A5983"/>
    <w:rsid w:val="002B44AF"/>
    <w:rsid w:val="002B567C"/>
    <w:rsid w:val="002B7C97"/>
    <w:rsid w:val="002E67F4"/>
    <w:rsid w:val="002F6CB7"/>
    <w:rsid w:val="00300D1C"/>
    <w:rsid w:val="0030201E"/>
    <w:rsid w:val="00305AAE"/>
    <w:rsid w:val="0032344C"/>
    <w:rsid w:val="00360798"/>
    <w:rsid w:val="003717A0"/>
    <w:rsid w:val="003719B0"/>
    <w:rsid w:val="00375614"/>
    <w:rsid w:val="00376DA7"/>
    <w:rsid w:val="003970A2"/>
    <w:rsid w:val="003973B0"/>
    <w:rsid w:val="003B1D86"/>
    <w:rsid w:val="003F3ADC"/>
    <w:rsid w:val="00413B54"/>
    <w:rsid w:val="0042252C"/>
    <w:rsid w:val="00443422"/>
    <w:rsid w:val="00451D7F"/>
    <w:rsid w:val="00456AE0"/>
    <w:rsid w:val="0046040E"/>
    <w:rsid w:val="004A19A6"/>
    <w:rsid w:val="004A47F0"/>
    <w:rsid w:val="004B60E3"/>
    <w:rsid w:val="004B67B3"/>
    <w:rsid w:val="004F14F0"/>
    <w:rsid w:val="00507A96"/>
    <w:rsid w:val="00517018"/>
    <w:rsid w:val="005172AC"/>
    <w:rsid w:val="00544B01"/>
    <w:rsid w:val="00546F3F"/>
    <w:rsid w:val="005472AD"/>
    <w:rsid w:val="00551250"/>
    <w:rsid w:val="0055498E"/>
    <w:rsid w:val="00582BB8"/>
    <w:rsid w:val="0059464D"/>
    <w:rsid w:val="005B425E"/>
    <w:rsid w:val="005B43B2"/>
    <w:rsid w:val="005D45F8"/>
    <w:rsid w:val="005E4433"/>
    <w:rsid w:val="005F0E3B"/>
    <w:rsid w:val="00622ED3"/>
    <w:rsid w:val="0066098C"/>
    <w:rsid w:val="00666DD5"/>
    <w:rsid w:val="006700C8"/>
    <w:rsid w:val="00674245"/>
    <w:rsid w:val="006773AA"/>
    <w:rsid w:val="006921AB"/>
    <w:rsid w:val="006955DB"/>
    <w:rsid w:val="0069630A"/>
    <w:rsid w:val="006A29D3"/>
    <w:rsid w:val="006C43A7"/>
    <w:rsid w:val="006C64AF"/>
    <w:rsid w:val="006C7561"/>
    <w:rsid w:val="006D5278"/>
    <w:rsid w:val="006F1041"/>
    <w:rsid w:val="00712BB9"/>
    <w:rsid w:val="00713029"/>
    <w:rsid w:val="00713C6C"/>
    <w:rsid w:val="0071547C"/>
    <w:rsid w:val="0073150C"/>
    <w:rsid w:val="00740A28"/>
    <w:rsid w:val="00774E09"/>
    <w:rsid w:val="00782914"/>
    <w:rsid w:val="007837B8"/>
    <w:rsid w:val="00787B3A"/>
    <w:rsid w:val="007B116B"/>
    <w:rsid w:val="007B32D7"/>
    <w:rsid w:val="007C2628"/>
    <w:rsid w:val="007C6FEA"/>
    <w:rsid w:val="008068ED"/>
    <w:rsid w:val="00860762"/>
    <w:rsid w:val="008678AD"/>
    <w:rsid w:val="00870FC1"/>
    <w:rsid w:val="008867D5"/>
    <w:rsid w:val="00894665"/>
    <w:rsid w:val="008A0675"/>
    <w:rsid w:val="008C752F"/>
    <w:rsid w:val="0091245A"/>
    <w:rsid w:val="00913C10"/>
    <w:rsid w:val="009141E9"/>
    <w:rsid w:val="00917738"/>
    <w:rsid w:val="0092695C"/>
    <w:rsid w:val="00926A5E"/>
    <w:rsid w:val="009852DB"/>
    <w:rsid w:val="009D5867"/>
    <w:rsid w:val="00A13A5A"/>
    <w:rsid w:val="00A1740A"/>
    <w:rsid w:val="00A425DA"/>
    <w:rsid w:val="00A42909"/>
    <w:rsid w:val="00A44CF1"/>
    <w:rsid w:val="00A62D9A"/>
    <w:rsid w:val="00A94415"/>
    <w:rsid w:val="00AB198E"/>
    <w:rsid w:val="00AC29F5"/>
    <w:rsid w:val="00AD567B"/>
    <w:rsid w:val="00AE0B96"/>
    <w:rsid w:val="00B13C9C"/>
    <w:rsid w:val="00B17111"/>
    <w:rsid w:val="00B27504"/>
    <w:rsid w:val="00B57CEA"/>
    <w:rsid w:val="00B62FEA"/>
    <w:rsid w:val="00B70730"/>
    <w:rsid w:val="00B76E4C"/>
    <w:rsid w:val="00B822C5"/>
    <w:rsid w:val="00BC318A"/>
    <w:rsid w:val="00BC5CA3"/>
    <w:rsid w:val="00BD447D"/>
    <w:rsid w:val="00C11880"/>
    <w:rsid w:val="00C2178C"/>
    <w:rsid w:val="00C34CFE"/>
    <w:rsid w:val="00C4486F"/>
    <w:rsid w:val="00C558B2"/>
    <w:rsid w:val="00C7196C"/>
    <w:rsid w:val="00C82D8B"/>
    <w:rsid w:val="00CB76E2"/>
    <w:rsid w:val="00CD0AE5"/>
    <w:rsid w:val="00CD713C"/>
    <w:rsid w:val="00CF509C"/>
    <w:rsid w:val="00D02E4B"/>
    <w:rsid w:val="00D0499D"/>
    <w:rsid w:val="00D12E88"/>
    <w:rsid w:val="00D151AE"/>
    <w:rsid w:val="00D615C9"/>
    <w:rsid w:val="00D61643"/>
    <w:rsid w:val="00D67D71"/>
    <w:rsid w:val="00D731E0"/>
    <w:rsid w:val="00D87C8E"/>
    <w:rsid w:val="00DB1A62"/>
    <w:rsid w:val="00DC4B56"/>
    <w:rsid w:val="00DE3617"/>
    <w:rsid w:val="00DE6E95"/>
    <w:rsid w:val="00DF2CAB"/>
    <w:rsid w:val="00E34E5E"/>
    <w:rsid w:val="00E527C1"/>
    <w:rsid w:val="00E61EC0"/>
    <w:rsid w:val="00E64D12"/>
    <w:rsid w:val="00E65E73"/>
    <w:rsid w:val="00E7186D"/>
    <w:rsid w:val="00E86987"/>
    <w:rsid w:val="00E86A36"/>
    <w:rsid w:val="00E900F3"/>
    <w:rsid w:val="00E95DED"/>
    <w:rsid w:val="00EB5BFD"/>
    <w:rsid w:val="00EB6F60"/>
    <w:rsid w:val="00EC5265"/>
    <w:rsid w:val="00EC758B"/>
    <w:rsid w:val="00ED5029"/>
    <w:rsid w:val="00EF70D8"/>
    <w:rsid w:val="00F21404"/>
    <w:rsid w:val="00F32427"/>
    <w:rsid w:val="00F5267E"/>
    <w:rsid w:val="00F635E5"/>
    <w:rsid w:val="00F73F19"/>
    <w:rsid w:val="00F87D10"/>
    <w:rsid w:val="00FC106B"/>
    <w:rsid w:val="00FC533C"/>
    <w:rsid w:val="00FC7B92"/>
    <w:rsid w:val="00FE724F"/>
    <w:rsid w:val="771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3">
    <w:name w:val="heading 5"/>
    <w:basedOn w:val="1"/>
    <w:link w:val="16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Document Map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Normal (Web)"/>
    <w:basedOn w:val="1"/>
    <w:uiPriority w:val="99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i/>
      <w:iCs/>
      <w:sz w:val="24"/>
      <w:szCs w:val="24"/>
    </w:rPr>
  </w:style>
  <w:style w:type="table" w:styleId="11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3">
    <w:name w:val="apple-converted-space"/>
    <w:qFormat/>
    <w:uiPriority w:val="0"/>
  </w:style>
  <w:style w:type="paragraph" w:styleId="14">
    <w:name w:val="List Paragraph"/>
    <w:basedOn w:val="1"/>
    <w:link w:val="15"/>
    <w:qFormat/>
    <w:uiPriority w:val="99"/>
    <w:pPr>
      <w:widowControl w:val="0"/>
      <w:autoSpaceDE w:val="0"/>
      <w:autoSpaceDN w:val="0"/>
      <w:spacing w:after="0" w:line="240" w:lineRule="auto"/>
      <w:ind w:left="590" w:hanging="360"/>
      <w:jc w:val="both"/>
    </w:pPr>
    <w:rPr>
      <w:rFonts w:ascii="Times New Roman" w:hAnsi="Times New Roman" w:eastAsia="Times New Roman" w:cs="Times New Roman"/>
    </w:rPr>
  </w:style>
  <w:style w:type="character" w:customStyle="1" w:styleId="15">
    <w:name w:val="Абзац списка Знак"/>
    <w:link w:val="14"/>
    <w:qFormat/>
    <w:locked/>
    <w:uiPriority w:val="99"/>
    <w:rPr>
      <w:rFonts w:ascii="Times New Roman" w:hAnsi="Times New Roman" w:eastAsia="Times New Roman" w:cs="Times New Roman"/>
    </w:rPr>
  </w:style>
  <w:style w:type="character" w:customStyle="1" w:styleId="16">
    <w:name w:val="Заголовок 5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7">
    <w:name w:val="Заголовок 3 Знак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">
    <w:name w:val="Схема документа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ngsana New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27A2-931B-4683-A75E-0108AD2AB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3199</Words>
  <Characters>18240</Characters>
  <Lines>152</Lines>
  <Paragraphs>42</Paragraphs>
  <TotalTime>5</TotalTime>
  <ScaleCrop>false</ScaleCrop>
  <LinksUpToDate>false</LinksUpToDate>
  <CharactersWithSpaces>21397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2025-11-17T14:16:00Z</dcterms:created>
  <dc:creator>0</dc:creator>
  <cp:lastModifiedBy>ktip</cp:lastModifiedBy>
  <dcterms:modified xsi:type="dcterms:W3CDTF">2025-11-25T05:19:11Z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6CFA2DF8F24B4705B609547BDBAE8636_12</vt:lpwstr>
  </property>
</Properties>
</file>