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0" distB="0" distL="114300" distR="114300" simplePos="0" locked="0" layoutInCell="0" allowOverlap="0" relativeHeight="2" wp14:anchorId="4CB181D9">
                <wp:simplePos x="0" y="0"/>
                <wp:positionH relativeFrom="column">
                  <wp:posOffset>-90805</wp:posOffset>
                </wp:positionH>
                <wp:positionV relativeFrom="page">
                  <wp:posOffset>447675</wp:posOffset>
                </wp:positionV>
                <wp:extent cx="6442075" cy="3232150"/>
                <wp:effectExtent l="0" t="0" r="0" b="9525"/>
                <wp:wrapTopAndBottom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1480" cy="323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767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lastRow="0" w:firstRow="0" w:lastColumn="0" w:firstColumn="0" w:val="0000" w:noHBand="0" w:noVBand="0"/>
                            </w:tblPr>
                            <w:tblGrid>
                              <w:gridCol w:w="4072"/>
                              <w:gridCol w:w="1560"/>
                              <w:gridCol w:w="4135"/>
                            </w:tblGrid>
                            <w:tr>
                              <w:trPr/>
                              <w:tc>
                                <w:tcPr>
                                  <w:tcW w:w="4072" w:type="dxa"/>
                                  <w:tcBorders/>
                                </w:tcPr>
                                <w:p>
                                  <w:pPr>
                                    <w:pStyle w:val="Style23"/>
                                    <w:widowControl w:val="false"/>
                                    <w:jc w:val="center"/>
                                    <w:rPr>
                                      <w:spacing w:val="60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579120" cy="685800"/>
                                        <wp:effectExtent l="0" t="0" r="0" b="0"/>
                                        <wp:docPr id="3" name="Рисунок 6" descr="gerb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Рисунок 6" descr="gerb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79120" cy="685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pStyle w:val="Style23"/>
                                    <w:widowControl w:val="false"/>
                                    <w:jc w:val="center"/>
                                    <w:rPr>
                                      <w:spacing w:val="60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60"/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Style23"/>
                                    <w:widowControl w:val="false"/>
                                    <w:jc w:val="center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60"/>
                                    </w:rPr>
                                    <w:t>ПРАВИТЕЛЬСТВО</w:t>
                                  </w:r>
                                  <w:bookmarkStart w:id="0" w:name="OLE_LINK10"/>
                                  <w:bookmarkEnd w:id="0"/>
                                </w:p>
                                <w:p>
                                  <w:pPr>
                                    <w:pStyle w:val="Style23"/>
                                    <w:widowControl w:val="false"/>
                                    <w:spacing w:before="0" w:after="160"/>
                                    <w:jc w:val="center"/>
                                    <w:rPr>
                                      <w:b/>
                                      <w:b/>
                                      <w:spacing w:val="40"/>
                                    </w:rPr>
                                  </w:pPr>
                                  <w:r>
                                    <w:rPr>
                                      <w:b/>
                                      <w:spacing w:val="40"/>
                                    </w:rPr>
                                    <w:t>ПРИМОРСКОГО КРАЯ</w:t>
                                  </w:r>
                                </w:p>
                                <w:p>
                                  <w:pPr>
                                    <w:pStyle w:val="Style23"/>
                                    <w:widowControl w:val="false"/>
                                    <w:jc w:val="center"/>
                                    <w:rPr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ЗАМЕСТИТЕЛЬ ПРЕДСЕДАТЕЛЯ ПРАВИТЕЛЬСТВА </w:t>
                                  </w:r>
                                </w:p>
                                <w:p>
                                  <w:pPr>
                                    <w:pStyle w:val="Style23"/>
                                    <w:widowControl w:val="false"/>
                                    <w:jc w:val="center"/>
                                    <w:rPr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ПРИМОРСКОГО КРАЯ – </w:t>
                                  </w:r>
                                </w:p>
                                <w:p>
                                  <w:pPr>
                                    <w:pStyle w:val="Style23"/>
                                    <w:widowControl w:val="false"/>
                                    <w:jc w:val="center"/>
                                    <w:rPr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МИНИСТР ОБРАЗОВАНИЯ</w:t>
                                  </w:r>
                                </w:p>
                                <w:p>
                                  <w:pPr>
                                    <w:pStyle w:val="Style23"/>
                                    <w:widowControl w:val="false"/>
                                    <w:spacing w:before="0" w:after="160"/>
                                    <w:jc w:val="center"/>
                                    <w:rPr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ПРИМОРСКОГО КРАЯ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exact" w:line="180"/>
                                    <w:jc w:val="center"/>
                                    <w:rPr>
                                      <w:rFonts w:ascii="PT Astra Serif" w:hAnsi="PT Astra Serif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18"/>
                                      <w:szCs w:val="18"/>
                                    </w:rPr>
                                    <w:t>ул.</w:t>
                                  </w:r>
                                  <w:r>
                                    <w:rPr>
                                      <w:rFonts w:ascii="PT Astra Serif" w:hAnsi="PT Astra Serif"/>
                                      <w:sz w:val="18"/>
                                      <w:szCs w:val="18"/>
                                      <w:lang w:val="en-US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PT Astra Serif" w:hAnsi="PT Astra Serif"/>
                                      <w:sz w:val="18"/>
                                      <w:szCs w:val="18"/>
                                    </w:rPr>
                                    <w:t>Светланская, 22, г. Владивосток, 690110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exact" w:line="200"/>
                                    <w:ind w:left="-57" w:right="-57" w:hanging="0"/>
                                    <w:jc w:val="center"/>
                                    <w:rPr>
                                      <w:rFonts w:ascii="PT Astra Serif" w:hAnsi="PT Astra Serif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18"/>
                                      <w:szCs w:val="18"/>
                                    </w:rPr>
                                    <w:t>Телефон:</w:t>
                                  </w:r>
                                  <w:r>
                                    <w:rPr>
                                      <w:rFonts w:ascii="PT Astra Serif" w:hAnsi="PT Astra Serif"/>
                                      <w:sz w:val="18"/>
                                      <w:szCs w:val="18"/>
                                      <w:lang w:val="en-US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PT Astra Serif" w:hAnsi="PT Astra Serif"/>
                                      <w:sz w:val="18"/>
                                      <w:szCs w:val="18"/>
                                    </w:rPr>
                                    <w:t>(423)</w:t>
                                  </w:r>
                                  <w:r>
                                    <w:rPr>
                                      <w:rFonts w:ascii="PT Astra Serif" w:hAnsi="PT Astra Serif"/>
                                      <w:sz w:val="18"/>
                                      <w:szCs w:val="18"/>
                                      <w:lang w:val="en-US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PT Astra Serif" w:hAnsi="PT Astra Serif"/>
                                      <w:sz w:val="18"/>
                                      <w:szCs w:val="18"/>
                                    </w:rPr>
                                    <w:t>240-28-04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exact" w:line="180" w:before="0" w:after="120"/>
                                    <w:jc w:val="center"/>
                                    <w:rPr>
                                      <w:rFonts w:ascii="PT Astra Serif" w:hAnsi="PT Astra Serif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18"/>
                                      <w:szCs w:val="18"/>
                                      <w:lang w:val="en-US"/>
                                    </w:rPr>
                                    <w:t>E-mail: minobrpk@primorsky.ru</w:t>
                                  </w:r>
                                </w:p>
                                <w:p>
                                  <w:pPr>
                                    <w:pStyle w:val="Style23"/>
                                    <w:widowControl w:val="false"/>
                                    <w:jc w:val="center"/>
                                    <w:rPr>
                                      <w:sz w:val="4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18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Style23"/>
                                    <w:widowControl w:val="false"/>
                                    <w:spacing w:before="120" w:after="0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2"/>
                                      <w:lang w:val="en-US"/>
                                    </w:rPr>
                                    <w:t>_______________________________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№ </w:t>
                                  </w:r>
                                  <w:r>
                                    <w:rPr>
                                      <w:sz w:val="12"/>
                                      <w:lang w:val="en-US"/>
                                    </w:rPr>
                                    <w:t>_____________________</w:t>
                                  </w:r>
                                </w:p>
                                <w:p>
                                  <w:pPr>
                                    <w:pStyle w:val="Style23"/>
                                    <w:widowControl w:val="false"/>
                                    <w:spacing w:before="120" w:after="0"/>
                                    <w:jc w:val="center"/>
                                    <w:rPr/>
                                  </w:pPr>
                                  <w:r>
                                    <w:rPr/>
                                    <w:t xml:space="preserve">На № </w:t>
                                  </w:r>
                                  <w:r>
                                    <w:rPr>
                                      <w:sz w:val="12"/>
                                    </w:rPr>
                                    <w:t>_____________________</w:t>
                                  </w:r>
                                  <w:r>
                                    <w:rPr/>
                                    <w:t xml:space="preserve"> от </w:t>
                                  </w:r>
                                  <w:r>
                                    <w:rPr>
                                      <w:sz w:val="12"/>
                                    </w:rPr>
                                    <w:t>______________________</w:t>
                                  </w:r>
                                </w:p>
                                <w:p>
                                  <w:pPr>
                                    <w:pStyle w:val="Style23"/>
                                    <w:widowControl w:val="false"/>
                                    <w:spacing w:before="12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/>
                                </w:tcPr>
                                <w:p>
                                  <w:pPr>
                                    <w:pStyle w:val="Style23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tcBorders/>
                                </w:tcPr>
                                <w:p>
                                  <w:pPr>
                                    <w:pStyle w:val="Style23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Style23"/>
                                    <w:widowControl w:val="false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</w:r>
                                </w:p>
                                <w:p>
                                  <w:pPr>
                                    <w:pStyle w:val="Style23"/>
                                    <w:widowControl w:val="false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</w:r>
                                </w:p>
                                <w:p>
                                  <w:pPr>
                                    <w:pStyle w:val="Style23"/>
                                    <w:widowControl w:val="false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</w:r>
                                </w:p>
                                <w:p>
                                  <w:pPr>
                                    <w:pStyle w:val="Style23"/>
                                    <w:widowControl w:val="false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Главам муниципальных образований Приморского края</w:t>
                                  </w:r>
                                </w:p>
                                <w:p>
                                  <w:pPr>
                                    <w:pStyle w:val="Style23"/>
                                    <w:widowControl w:val="fals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</w:r>
                                  <w:bookmarkStart w:id="1" w:name="_Hlk182190388"/>
                                  <w:bookmarkStart w:id="2" w:name="_Hlk182190388"/>
                                  <w:bookmarkEnd w:id="2"/>
                                </w:p>
                              </w:tc>
                            </w:tr>
                          </w:tbl>
                          <w:p>
                            <w:pPr>
                              <w:pStyle w:val="Style23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f" style="position:absolute;margin-left:-7.15pt;margin-top:35.25pt;width:507.15pt;height:254.4pt;mso-wrap-style:none;v-text-anchor:middle;mso-position-vertical-relative:page" wp14:anchorId="4CB181D9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9767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lastRow="0" w:firstRow="0" w:lastColumn="0" w:firstColumn="0" w:val="0000" w:noHBand="0" w:noVBand="0"/>
                      </w:tblPr>
                      <w:tblGrid>
                        <w:gridCol w:w="4072"/>
                        <w:gridCol w:w="1560"/>
                        <w:gridCol w:w="4135"/>
                      </w:tblGrid>
                      <w:tr>
                        <w:trPr/>
                        <w:tc>
                          <w:tcPr>
                            <w:tcW w:w="4072" w:type="dxa"/>
                            <w:tcBorders/>
                          </w:tcPr>
                          <w:p>
                            <w:pPr>
                              <w:pStyle w:val="Style23"/>
                              <w:widowControl w:val="false"/>
                              <w:jc w:val="center"/>
                              <w:rPr>
                                <w:spacing w:val="60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579120" cy="685800"/>
                                  <wp:effectExtent l="0" t="0" r="0" b="0"/>
                                  <wp:docPr id="4" name="Рисунок 6" descr="ger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Рисунок 6" descr="ger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912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jc w:val="center"/>
                              <w:rPr>
                                <w:spacing w:val="60"/>
                                <w:sz w:val="16"/>
                              </w:rPr>
                            </w:pPr>
                            <w:r>
                              <w:rPr>
                                <w:spacing w:val="60"/>
                                <w:sz w:val="16"/>
                              </w:rPr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spacing w:val="60"/>
                              </w:rPr>
                              <w:t>ПРАВИТЕЛЬСТВО</w:t>
                            </w:r>
                            <w:bookmarkStart w:id="3" w:name="OLE_LINK10"/>
                            <w:bookmarkEnd w:id="3"/>
                          </w:p>
                          <w:p>
                            <w:pPr>
                              <w:pStyle w:val="Style23"/>
                              <w:widowControl w:val="false"/>
                              <w:spacing w:before="0" w:after="160"/>
                              <w:jc w:val="center"/>
                              <w:rPr>
                                <w:b/>
                                <w:b/>
                                <w:spacing w:val="40"/>
                              </w:rPr>
                            </w:pPr>
                            <w:r>
                              <w:rPr>
                                <w:b/>
                                <w:spacing w:val="40"/>
                              </w:rPr>
                              <w:t>ПРИМОРСКОГО КРАЯ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jc w:val="center"/>
                              <w:rPr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ЗАМЕСТИТЕЛЬ ПРЕДСЕДАТЕЛЯ ПРАВИТЕЛЬСТВА 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jc w:val="center"/>
                              <w:rPr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ПРИМОРСКОГО КРАЯ – 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jc w:val="center"/>
                              <w:rPr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МИНИСТР ОБРАЗОВАНИЯ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0" w:after="160"/>
                              <w:jc w:val="center"/>
                              <w:rPr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ПРИМОРСКОГО КРАЯ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lineRule="exact" w:line="180"/>
                              <w:jc w:val="center"/>
                              <w:rPr>
                                <w:rFonts w:ascii="PT Astra Serif" w:hAnsi="PT Astra Seri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18"/>
                                <w:szCs w:val="18"/>
                              </w:rPr>
                              <w:t>ул.</w:t>
                            </w:r>
                            <w:r>
                              <w:rPr>
                                <w:rFonts w:ascii="PT Astra Serif" w:hAnsi="PT Astra Serif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PT Astra Serif" w:hAnsi="PT Astra Serif"/>
                                <w:sz w:val="18"/>
                                <w:szCs w:val="18"/>
                              </w:rPr>
                              <w:t>Светланская, 22, г. Владивосток, 690110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lineRule="exact" w:line="200"/>
                              <w:ind w:left="-57" w:right="-57" w:hanging="0"/>
                              <w:jc w:val="center"/>
                              <w:rPr>
                                <w:rFonts w:ascii="PT Astra Serif" w:hAnsi="PT Astra Seri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18"/>
                                <w:szCs w:val="18"/>
                              </w:rPr>
                              <w:t>Телефон:</w:t>
                            </w:r>
                            <w:r>
                              <w:rPr>
                                <w:rFonts w:ascii="PT Astra Serif" w:hAnsi="PT Astra Serif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PT Astra Serif" w:hAnsi="PT Astra Serif"/>
                                <w:sz w:val="18"/>
                                <w:szCs w:val="18"/>
                              </w:rPr>
                              <w:t>(423)</w:t>
                            </w:r>
                            <w:r>
                              <w:rPr>
                                <w:rFonts w:ascii="PT Astra Serif" w:hAnsi="PT Astra Serif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PT Astra Serif" w:hAnsi="PT Astra Serif"/>
                                <w:sz w:val="18"/>
                                <w:szCs w:val="18"/>
                              </w:rPr>
                              <w:t>240-28-04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lineRule="exact" w:line="180" w:before="0" w:after="120"/>
                              <w:jc w:val="center"/>
                              <w:rPr>
                                <w:rFonts w:ascii="PT Astra Serif" w:hAnsi="PT Astra Seri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18"/>
                                <w:szCs w:val="18"/>
                                <w:lang w:val="en-US"/>
                              </w:rPr>
                              <w:t>E-mail: minobrpk@primorsky.ru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jc w:val="center"/>
                              <w:rPr>
                                <w:sz w:val="4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4"/>
                                <w:szCs w:val="18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20"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lang w:val="en-US"/>
                              </w:rPr>
                              <w:t>_______________________________</w:t>
                            </w:r>
                            <w:r>
                              <w:rPr>
                                <w:lang w:val="en-US"/>
                              </w:rPr>
                              <w:t xml:space="preserve"> № </w:t>
                            </w:r>
                            <w:r>
                              <w:rPr>
                                <w:sz w:val="12"/>
                                <w:lang w:val="en-US"/>
                              </w:rPr>
                              <w:t>_____________________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20" w:after="0"/>
                              <w:jc w:val="center"/>
                              <w:rPr/>
                            </w:pPr>
                            <w:r>
                              <w:rPr/>
                              <w:t xml:space="preserve">На № </w:t>
                            </w:r>
                            <w:r>
                              <w:rPr>
                                <w:sz w:val="12"/>
                              </w:rPr>
                              <w:t>_____________________</w:t>
                            </w:r>
                            <w:r>
                              <w:rPr/>
                              <w:t xml:space="preserve"> от </w:t>
                            </w:r>
                            <w:r>
                              <w:rPr>
                                <w:sz w:val="12"/>
                              </w:rPr>
                              <w:t>______________________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20" w:after="0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60" w:type="dxa"/>
                            <w:tcBorders/>
                          </w:tcPr>
                          <w:p>
                            <w:pPr>
                              <w:pStyle w:val="Style23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135" w:type="dxa"/>
                            <w:tcBorders/>
                          </w:tcPr>
                          <w:p>
                            <w:pPr>
                              <w:pStyle w:val="Style23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Главам муниципальных образований Приморского края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bookmarkStart w:id="4" w:name="_Hlk182190388"/>
                            <w:bookmarkStart w:id="5" w:name="_Hlk182190388"/>
                            <w:bookmarkEnd w:id="5"/>
                          </w:p>
                        </w:tc>
                      </w:tr>
                    </w:tbl>
                    <w:p>
                      <w:pPr>
                        <w:pStyle w:val="Style23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Уважаемые коллеги!</w:t>
      </w:r>
    </w:p>
    <w:p>
      <w:pPr>
        <w:pStyle w:val="Normal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Правительство Приморского края, Прокуратуру Приморского края продолжают поступать многочисленные обращения родителей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(законных представителей) обучающихся</w:t>
      </w:r>
      <w:r>
        <w:rPr>
          <w:sz w:val="28"/>
          <w:szCs w:val="28"/>
        </w:rPr>
        <w:t xml:space="preserve"> по вопросу незаконных сборов денежных средств, а также по вопросу реализации прав обучающихся общеобразовательных организаций края на бесплатное обеспечение школьными учебниками и учебными пособиями, в связи с чем министерство образования Приморского края считает необходимым </w:t>
      </w:r>
      <w:r>
        <w:rPr>
          <w:sz w:val="28"/>
          <w:szCs w:val="28"/>
        </w:rPr>
        <w:t>повторно разъяснить</w:t>
      </w:r>
      <w:r>
        <w:rPr>
          <w:sz w:val="28"/>
          <w:szCs w:val="28"/>
        </w:rPr>
        <w:t xml:space="preserve"> следующее.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5 ч. 1 ст. 9 Федерального закона от 29.12.2012 </w:t>
        <w:br/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№</w:t>
      </w:r>
      <w:r>
        <w:rPr>
          <w:sz w:val="28"/>
          <w:szCs w:val="28"/>
        </w:rPr>
        <w:t xml:space="preserve"> 273-ФЗ «Об образовании в Российской Федерации» обеспечение содержания зданий и сооружений муниципальных образовательных организаций, обустройство прилегающих к ним территорий отнесены к полномочиям органов местного самоуправления.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п. 2 ч. 3 </w:t>
      </w:r>
      <w:r>
        <w:rPr>
          <w:sz w:val="28"/>
          <w:szCs w:val="28"/>
        </w:rPr>
        <w:t>ст. 28 Федерального закона от 29.12.2012 № 273-ФЗ «Об образовании в Российской Федерации»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создание необходимых условий для охраны и укрепления здоровья обучающихся отнесены к компетенции образовательной организации.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месте с тем, </w:t>
      </w:r>
      <w:r>
        <w:rPr>
          <w:sz w:val="28"/>
          <w:szCs w:val="28"/>
        </w:rPr>
        <w:t xml:space="preserve">Законом Приморского края от 05.12.2018 № 409-КЗ </w:t>
        <w:br/>
      </w:r>
      <w:r>
        <w:rPr>
          <w:sz w:val="28"/>
          <w:szCs w:val="28"/>
        </w:rPr>
        <w:t xml:space="preserve">устанавливается предоставление субвенций местным бюджетам </w:t>
      </w:r>
      <w:r>
        <w:rPr>
          <w:b/>
          <w:bCs/>
          <w:sz w:val="28"/>
          <w:szCs w:val="28"/>
        </w:rPr>
        <w:t>из краевого бюджета</w:t>
      </w:r>
      <w:r>
        <w:rPr>
          <w:sz w:val="28"/>
          <w:szCs w:val="28"/>
        </w:rPr>
        <w:t xml:space="preserve">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 Приморского края, в том числе </w:t>
      </w:r>
      <w:r>
        <w:rPr>
          <w:sz w:val="28"/>
          <w:szCs w:val="28"/>
        </w:rPr>
        <w:t>определен норматив на учебные расходы, который включает расходы на: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приобретение учебников, учебных пособий, канцелярских принадлежностей, расходных материалов;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приобретение учебного оборудования, мебели для занятий, школьной мебели;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приобретение игрового оборудования, игр и игрушек;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приобретение справочной, методической и другой литературы для реализации образовательных программ;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приобретение бланков документов об образовании;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приобретение средств обучения и воспитания (приборы,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лицензионное программное обеспечение и (или) лицензии на программное обеспечение, создание и поддержание функционирования информационно-телекоммуникационной сети дистанционного обучения в муниципальных общеобразовательных организациях, оплату доступа муниципальных общеобразовательных организаций к информационно-телекоммуникационной сети «Интернет» с контентной фильтрацией, оплату доступа к информационным и образовательным ресурсам,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деятельности;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иные хозяйственные нужды и другие расходы, связанные с обеспечением образовательного процесса.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статье 35 Федерального закона от 29.12.2012 № 273-ФЗ </w:t>
        <w:br/>
        <w:t>«Об образовании в Российской Федерации» 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Буквальное толкование данной нормы свидетельствует о праве обучающегося получить в пользование бесплатно на время получения образования учебники и учебные пособия в четко установленных пределах.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Обращаем ваше внимание, что в образовательном процессе могут использоваться учебники, учебные пособия, включенные </w:t>
      </w:r>
      <w:r>
        <w:rPr>
          <w:b/>
          <w:bCs/>
          <w:sz w:val="28"/>
          <w:szCs w:val="28"/>
        </w:rPr>
        <w:t xml:space="preserve">в утвержденный директором школы перечень. </w:t>
      </w:r>
      <w:r>
        <w:rPr>
          <w:b w:val="false"/>
          <w:bCs w:val="false"/>
          <w:sz w:val="28"/>
          <w:szCs w:val="28"/>
        </w:rPr>
        <w:t>П</w:t>
      </w:r>
      <w:r>
        <w:rPr>
          <w:sz w:val="28"/>
          <w:szCs w:val="28"/>
        </w:rPr>
        <w:t xml:space="preserve">риобретение учебников, учебных пособий (в том числе рабочих тетрадей на печатной основе), включенных </w:t>
      </w:r>
      <w:r>
        <w:rPr>
          <w:b w:val="false"/>
          <w:bCs w:val="false"/>
          <w:sz w:val="28"/>
          <w:szCs w:val="28"/>
        </w:rPr>
        <w:t>в утвержденный перечень,</w:t>
      </w:r>
      <w:r>
        <w:rPr>
          <w:sz w:val="28"/>
          <w:szCs w:val="28"/>
        </w:rPr>
        <w:t xml:space="preserve"> осуществляется за счет средств субвенции. Не включенные в утвержденный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перечень</w:t>
      </w:r>
      <w:r>
        <w:rPr>
          <w:sz w:val="28"/>
          <w:szCs w:val="28"/>
        </w:rPr>
        <w:t xml:space="preserve"> учебники, учебные пособия не могут использоваться в образовательном процессе.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напоминаем, что рабочие тетради на печатной основе служат для закрепления и повторения пройденного материала. Они не предназначены для многократного использования, поскольку обучающиеся работают непосредственно в данных тетрадях. </w:t>
      </w:r>
      <w:r>
        <w:rPr>
          <w:b w:val="false"/>
          <w:bCs w:val="false"/>
          <w:sz w:val="28"/>
          <w:szCs w:val="28"/>
        </w:rPr>
        <w:t xml:space="preserve">При этом </w:t>
      </w:r>
      <w:r>
        <w:rPr>
          <w:sz w:val="28"/>
          <w:szCs w:val="28"/>
        </w:rPr>
        <w:t xml:space="preserve">учитель не вправе ставить неудовлетворительную оценку за отсутствие рабочей тетради на печатной основе, а также давать любые оценки данному факту, писать замечания и т. д. </w:t>
        <w:br/>
        <w:t xml:space="preserve">В случае отсутствия по какой-либо причине у обучающегося рабочей тетради </w:t>
      </w:r>
      <w:r>
        <w:rPr>
          <w:sz w:val="28"/>
          <w:szCs w:val="28"/>
        </w:rPr>
        <w:t>на печатной основе</w:t>
      </w:r>
      <w:r>
        <w:rPr>
          <w:sz w:val="28"/>
          <w:szCs w:val="28"/>
        </w:rPr>
        <w:t xml:space="preserve"> (выданной ему бесплатно школой) учитель обязан предложить обучающемуся альтернативные задания, не требующие наличия на уроке так</w:t>
      </w:r>
      <w:r>
        <w:rPr>
          <w:sz w:val="28"/>
          <w:szCs w:val="28"/>
        </w:rPr>
        <w:t xml:space="preserve">ой </w:t>
      </w:r>
      <w:r>
        <w:rPr>
          <w:sz w:val="28"/>
          <w:szCs w:val="28"/>
        </w:rPr>
        <w:t>тетрад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Отдельно следует отметить, что </w:t>
      </w:r>
      <w:r>
        <w:rPr>
          <w:sz w:val="28"/>
          <w:szCs w:val="28"/>
        </w:rPr>
        <w:t>учитель в своей деятельности может применять различные методики обучения, которые позволяют достичь освоения обучающимися образовательной программы и без использования рабочих тетрадей на печатной основе.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</w:t>
      </w:r>
      <w:r>
        <w:rPr>
          <w:sz w:val="28"/>
          <w:szCs w:val="28"/>
        </w:rPr>
        <w:t xml:space="preserve">напоминаем, что </w:t>
      </w:r>
      <w:r>
        <w:rPr>
          <w:sz w:val="28"/>
          <w:szCs w:val="28"/>
        </w:rPr>
        <w:t>родители (законные представители) обучающихся образовательных организаций вправе индивидуально или коллективно осуществлять пожертвования образовательной организации, в том числе вносить благотворительные взносы, исключительно на добровольной основе.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привлечения и расходования добровольных пожертвований и целевых взносов физических лиц регламентируется Федеральным законом </w:t>
        <w:br/>
        <w:t xml:space="preserve">от 11.08.1995 № 135-ФЗ «О благотворительной деятельности и благотворительных организациях», Законом Российской Федерации </w:t>
        <w:br/>
        <w:t>от 07.02.1992 № 2300-1 «О защите прав потребителей», Гражданским кодексом Российской Федерации.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перечисленными нормативными правовыми актами </w:t>
      </w:r>
      <w:r>
        <w:rPr>
          <w:sz w:val="28"/>
          <w:szCs w:val="28"/>
        </w:rPr>
        <w:t>л</w:t>
      </w:r>
      <w:r>
        <w:rPr>
          <w:sz w:val="28"/>
          <w:szCs w:val="28"/>
        </w:rPr>
        <w:t>юбая инициативная группа граждан, в том числе родительский комитет, попечительский совет и прочие органы самоуправления образовательной организации,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данную образовательную организацию.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Не допускается </w:t>
      </w:r>
      <w:r>
        <w:rPr>
          <w:b w:val="false"/>
          <w:bCs w:val="false"/>
          <w:sz w:val="28"/>
          <w:szCs w:val="28"/>
        </w:rPr>
        <w:t>принуждение</w:t>
      </w:r>
      <w:r>
        <w:rPr>
          <w:sz w:val="28"/>
          <w:szCs w:val="28"/>
        </w:rPr>
        <w:t xml:space="preserve"> родителей (законных представителей) обучающихся, воспитанников к внесению денежных средств, осуществлению иных форм материальной помощи со стороны администрации и работников образовательных организаций, а также созданных при образовательных организациях органов самоуправления, в том числе родительских комитетов, попечительских советов. Установление фиксированных сумм для благотворительной помощи также относится к формам принуждения (оказание давления на родителей).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оказании родителями финансовой помощи внесение денежных средств должно производиться исключительно на расчетный счет образовательной организации. 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Администрация, сотрудники образовательной организации, иные лица не вправе требовать или принимать от благотворителей наличные денежные средства, требовать от благотворителя предоставления квитанции или иного документа, свидетельствующего о зачислении денежных средств на расчетный счет организации.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Благотворитель имеет право в течение 10 дней со дня перечисления по доброй воле денежных средств на расчетный счет учреждения подать обращение в учреждение (по своему желанию приложить копию квитанции или иного подтверждающего документа) и указать в нем целевое назначение перечисленных денежных средств; 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размещенного на официальном сайте образовательной организации;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 сообщить о нарушении своих прав и законных интересов при принятии противоправных решений, действиях или бездействии должностных лиц по телефонам «горячей линии». 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 xml:space="preserve">оказание </w:t>
      </w:r>
      <w:r>
        <w:rPr>
          <w:sz w:val="28"/>
          <w:szCs w:val="28"/>
        </w:rPr>
        <w:t>финанс</w:t>
      </w:r>
      <w:r>
        <w:rPr>
          <w:sz w:val="28"/>
          <w:szCs w:val="28"/>
        </w:rPr>
        <w:t xml:space="preserve">овой и/или материальной помощи для </w:t>
      </w:r>
      <w:r>
        <w:rPr>
          <w:sz w:val="28"/>
          <w:szCs w:val="28"/>
        </w:rPr>
        <w:t>содержани</w:t>
      </w:r>
      <w:r>
        <w:rPr>
          <w:sz w:val="28"/>
          <w:szCs w:val="28"/>
        </w:rPr>
        <w:t xml:space="preserve">я, ремонта, </w:t>
      </w:r>
      <w:r>
        <w:rPr>
          <w:sz w:val="28"/>
          <w:szCs w:val="28"/>
        </w:rPr>
        <w:t>охран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зданий образовательных организаций, материально-техническо</w:t>
      </w:r>
      <w:r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и оснащени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образовательного процесса </w:t>
      </w:r>
      <w:r>
        <w:rPr>
          <w:sz w:val="28"/>
          <w:szCs w:val="28"/>
        </w:rPr>
        <w:t>является правом, а не обязанностью р</w:t>
      </w:r>
      <w:r>
        <w:rPr>
          <w:sz w:val="28"/>
          <w:szCs w:val="28"/>
        </w:rPr>
        <w:t>одител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(законных представителей) обучающихся</w:t>
      </w:r>
      <w:r>
        <w:rPr>
          <w:sz w:val="28"/>
          <w:szCs w:val="28"/>
        </w:rPr>
        <w:t>.</w:t>
      </w:r>
    </w:p>
    <w:p>
      <w:pPr>
        <w:pStyle w:val="Normal"/>
        <w:widowControl w:val="false"/>
        <w:spacing w:lineRule="auto" w:line="360"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изложенное, с целью исключения привлечения родительских средств на покупку учебников, учебных пособий обращаем 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аше внимание на необходимость:</w:t>
      </w:r>
    </w:p>
    <w:p>
      <w:pPr>
        <w:pStyle w:val="Normal"/>
        <w:widowControl w:val="false"/>
        <w:spacing w:lineRule="auto" w:line="360"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постоянного контроля за учетом, хранением, рациональным использованием имеющегося библиотечного фонда учебной литературы в соответствии с образовательными программами школ, комплексного планирования работы по данному направлению на уровне общеобразовательной организации и муниципального органа управления образованием;</w:t>
      </w:r>
    </w:p>
    <w:p>
      <w:pPr>
        <w:pStyle w:val="Normal"/>
        <w:widowControl w:val="false"/>
        <w:spacing w:lineRule="auto" w:line="360"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своевременного проведения инвентаризации с целью выявления наличия в каждой образовательной организации неиспользуемых и не списанных по срокам учебников и замены их на новые</w:t>
      </w:r>
      <w:r>
        <w:rPr>
          <w:sz w:val="28"/>
          <w:szCs w:val="28"/>
        </w:rPr>
        <w:t>;</w:t>
      </w:r>
    </w:p>
    <w:p>
      <w:pPr>
        <w:pStyle w:val="Normal"/>
        <w:widowControl w:val="false"/>
        <w:spacing w:lineRule="auto" w:line="360"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принятия управленческих мер по внедрению во всех общеобразовательных организациях автоматизированной системы учета учебн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фонд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, способствующей оптимизации комплектования, обеспечению сохранности фонда и его своевременного пополнения.</w:t>
      </w:r>
    </w:p>
    <w:p>
      <w:pPr>
        <w:pStyle w:val="Normal"/>
        <w:widowControl w:val="false"/>
        <w:spacing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реализации комплекса мер, направленных на недопущение незаконных сборов денежных средств с родителей </w:t>
      </w:r>
      <w:r>
        <w:rPr>
          <w:color w:val="000000"/>
          <w:sz w:val="28"/>
          <w:szCs w:val="28"/>
        </w:rPr>
        <w:t xml:space="preserve">(законных представителей) </w:t>
      </w:r>
      <w:r>
        <w:rPr>
          <w:color w:val="000000"/>
          <w:sz w:val="28"/>
          <w:szCs w:val="28"/>
        </w:rPr>
        <w:t>обучающихся образовательных организаций, необходимо организовать следующую работу:</w:t>
      </w:r>
    </w:p>
    <w:p>
      <w:pPr>
        <w:pStyle w:val="Normal"/>
        <w:widowControl w:val="false"/>
        <w:spacing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провести с административно-управленческими и педагогическими составами, родителями (законными представителями) обучающихся разъяснительную работу о противозаконности коррупционных действий; </w:t>
      </w:r>
    </w:p>
    <w:p>
      <w:pPr>
        <w:pStyle w:val="Normal"/>
        <w:widowControl w:val="false"/>
        <w:spacing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предоставить родителям (законным представителям) необходимую </w:t>
        <w:br/>
        <w:t xml:space="preserve">и достоверную информацию по вопросам оказания платных образовательных услуг,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порядке привлечения</w:t>
      </w:r>
      <w:r>
        <w:rPr>
          <w:color w:val="000000"/>
          <w:sz w:val="28"/>
          <w:szCs w:val="28"/>
        </w:rPr>
        <w:t xml:space="preserve"> и расходования добровольных пожертвований и целевых взносов физических лиц, в т.ч. сведения о возможности, порядке, условиях внесения физическими (или) юридическими лицами добровольных пожертвований и целевых взносов, механизмах принятия решения </w:t>
        <w:br/>
        <w:t>о необходимости привлечения указанных средств на нужды общеобразовательной организации, а также осуществления контроля за их расходованием;</w:t>
      </w:r>
    </w:p>
    <w:p>
      <w:pPr>
        <w:pStyle w:val="Normal"/>
        <w:widowControl w:val="false"/>
        <w:spacing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разместить на официальных сайтах общеобразовательных организаций документы о порядке оказания платных образовательных услуг, в т.ч. образец договора об оказании платных образовательных услуг, об утверждении стоимости обучения по каждой образовательной программе.</w:t>
      </w:r>
    </w:p>
    <w:p>
      <w:pPr>
        <w:pStyle w:val="Normal"/>
        <w:widowControl w:val="false"/>
        <w:spacing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вышеуказанных мероприятий просим взять на личный контроль.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 Председателя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Правительства Приморского края-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образования Приморского края </w:t>
        <w:tab/>
        <w:tab/>
        <w:tab/>
        <w:t xml:space="preserve">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Э.В. Шамонова</w:t>
      </w:r>
    </w:p>
    <w:p>
      <w:pPr>
        <w:pStyle w:val="Normal"/>
        <w:spacing w:lineRule="auto" w:line="36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Шкуратская М.В.</w:t>
      </w:r>
    </w:p>
    <w:p>
      <w:pPr>
        <w:pStyle w:val="Normal"/>
        <w:rPr/>
      </w:pPr>
      <w:r>
        <w:rPr/>
        <w:t>8(423) 243-20-17</w:t>
      </w:r>
    </w:p>
    <w:p>
      <w:pPr>
        <w:pStyle w:val="Normal"/>
        <w:rPr/>
      </w:pPr>
      <w:r>
        <w:rPr/>
        <w:t>Тавалаева З.И.</w:t>
      </w:r>
    </w:p>
    <w:p>
      <w:pPr>
        <w:pStyle w:val="Normal"/>
        <w:rPr/>
      </w:pPr>
      <w:r>
        <w:rPr/>
        <w:t>8(423) 240-28-69</w:t>
      </w:r>
    </w:p>
    <w:sectPr>
      <w:type w:val="nextPage"/>
      <w:pgSz w:w="11906" w:h="16838"/>
      <w:pgMar w:left="1136" w:right="1136" w:header="0" w:top="1136" w:footer="0" w:bottom="113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spacing w:lineRule="exact" w:line="280" w:before="120" w:after="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b/>
      <w:spacing w:val="40"/>
      <w:sz w:val="26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911584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link w:val="a4"/>
    <w:uiPriority w:val="99"/>
    <w:semiHidden/>
    <w:qFormat/>
    <w:rsid w:val="006b5085"/>
    <w:rPr>
      <w:rFonts w:ascii="Tahoma" w:hAnsi="Tahoma" w:cs="Tahoma"/>
      <w:sz w:val="16"/>
      <w:szCs w:val="16"/>
    </w:rPr>
  </w:style>
  <w:style w:type="character" w:styleId="Style12">
    <w:name w:val="Интернет-ссылка"/>
    <w:rsid w:val="00130766"/>
    <w:rPr>
      <w:color w:val="0000FF"/>
      <w:u w:val="single"/>
    </w:rPr>
  </w:style>
  <w:style w:type="character" w:styleId="Style13" w:customStyle="1">
    <w:name w:val="Верхний колонтитул Знак"/>
    <w:link w:val="a7"/>
    <w:uiPriority w:val="99"/>
    <w:qFormat/>
    <w:rsid w:val="005852e4"/>
    <w:rPr>
      <w:sz w:val="24"/>
      <w:szCs w:val="24"/>
    </w:rPr>
  </w:style>
  <w:style w:type="character" w:styleId="Style14" w:customStyle="1">
    <w:name w:val="Нижний колонтитул Знак"/>
    <w:link w:val="a9"/>
    <w:uiPriority w:val="99"/>
    <w:qFormat/>
    <w:rsid w:val="005852e4"/>
    <w:rPr>
      <w:sz w:val="24"/>
      <w:szCs w:val="24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911584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exact" w:line="280"/>
      <w:jc w:val="center"/>
    </w:pPr>
    <w:rPr>
      <w:b/>
      <w:sz w:val="22"/>
      <w:szCs w:val="20"/>
    </w:rPr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6b5085"/>
    <w:pPr/>
    <w:rPr>
      <w:rFonts w:ascii="Tahoma" w:hAnsi="Tahoma"/>
      <w:sz w:val="16"/>
      <w:szCs w:val="16"/>
      <w:lang w:val="x-none" w:eastAsia="x-none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8"/>
    <w:uiPriority w:val="99"/>
    <w:unhideWhenUsed/>
    <w:rsid w:val="005852e4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link w:val="aa"/>
    <w:uiPriority w:val="99"/>
    <w:unhideWhenUsed/>
    <w:rsid w:val="005852e4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Вице-губернаторам</Template>
  <TotalTime>75</TotalTime>
  <Application>LibreOffice/7.0.6.2$Linux_X86_64 LibreOffice_project/00$Build-2</Application>
  <AppVersion>15.0000</AppVersion>
  <Pages>7</Pages>
  <Words>1265</Words>
  <Characters>9975</Characters>
  <CharactersWithSpaces>11224</CharactersWithSpaces>
  <Paragraphs>54</Paragraphs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2022-08-10T14:22:00Z</dcterms:created>
  <dc:creator>Mironova_OA</dc:creator>
  <dc:description/>
  <dc:language>ru-RU</dc:language>
  <cp:lastModifiedBy/>
  <cp:lastPrinted>2022-08-08T14:23:49Z</cp:lastPrinted>
  <dcterms:modified xsi:type="dcterms:W3CDTF">2022-08-10T15:00:21Z</dcterms:modified>
  <cp:revision>17</cp:revision>
  <dc:subject/>
  <dc:title>Федеральный закон от 29.12.2012 N 273-ФЗ(ред. от 14.07.2022)"Об образовании в Российской Федерации"(с изм. и доп., вступ. в силу с 25.07.2022)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