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2025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01.01.2025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«Тополек» пгт Славянка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36783006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Деятельность, осуществляемая за счет средств субсидии на иные цели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1 539 106,49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77 869,40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060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1 539 106,49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77 869,40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1 539 106,49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77 869,40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1 539 106,49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77 869,40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-1 461 237,09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-1 461 237,09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1 461 237,09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Е.В. Борухина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ОГРН 1092502000051, ИНН 2531010346, КПП 253101001, 692701, Приморский край, м.о. Хасанский, пгт Славянка, ул Молодежная, д. 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7 февраля 2025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