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4"/>
        <w:jc w:val="center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ГБУ РО </w:t>
      </w:r>
      <w:r>
        <w:rPr>
          <w:bCs/>
          <w:sz w:val="20"/>
          <w:szCs w:val="20"/>
        </w:rPr>
        <w:t xml:space="preserve">ц</w:t>
      </w:r>
      <w:r>
        <w:rPr>
          <w:bCs/>
          <w:sz w:val="20"/>
          <w:szCs w:val="20"/>
        </w:rPr>
        <w:t xml:space="preserve">ентр психолого-педагогической</w:t>
      </w:r>
      <w:r>
        <w:rPr>
          <w:bCs/>
          <w:sz w:val="20"/>
          <w:szCs w:val="20"/>
        </w:rPr>
        <w:t xml:space="preserve">, медицинской и социальной помощи</w:t>
      </w:r>
      <w:r>
        <w:rPr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Региональный центр здоровьесбережения в сфере образования Ростовской области </w:t>
      </w:r>
      <w:r>
        <w:rPr>
          <w:b/>
          <w:bCs/>
          <w:sz w:val="20"/>
          <w:szCs w:val="20"/>
        </w:rPr>
      </w:r>
      <w:r/>
    </w:p>
    <w:p>
      <w:pPr>
        <w:pStyle w:val="424"/>
        <w:jc w:val="center"/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-530224</wp:posOffset>
                </wp:positionH>
                <wp:positionV relativeFrom="paragraph">
                  <wp:posOffset>58420</wp:posOffset>
                </wp:positionV>
                <wp:extent cx="7185025" cy="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850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524288;o:allowoverlap:true;o:allowincell:true;mso-position-horizontal-relative:text;margin-left:-41.7pt;mso-position-horizontal:absolute;mso-position-vertical-relative:text;margin-top:4.6pt;mso-position-vertical:absolute;width:565.8pt;height:0.0pt;" coordsize="100000,100000" path="m0,0l100000,16632002ee" fillcolor="#FFFFFF" strokecolor="#000000">
                <v:path textboxrect="0,0,100000,100000"/>
              </v:shape>
            </w:pict>
          </mc:Fallback>
        </mc:AlternateContent>
      </w:r>
      <w:r>
        <w:rPr>
          <w:b/>
          <w:bCs/>
          <w:sz w:val="32"/>
          <w:szCs w:val="32"/>
        </w:rPr>
      </w:r>
      <w:r/>
    </w:p>
    <w:p>
      <w:pPr>
        <w:pStyle w:val="424"/>
        <w:ind w:left="360"/>
        <w:jc w:val="center"/>
        <w:spacing w:lineRule="auto" w:line="27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для родителей и медицинских работников </w:t>
        <w:br/>
      </w:r>
      <w:r>
        <w:rPr>
          <w:bCs/>
          <w:sz w:val="28"/>
          <w:szCs w:val="28"/>
        </w:rPr>
        <w:t xml:space="preserve">по рекомендациям, получаемым после обследования </w:t>
        <w:br/>
        <w:t xml:space="preserve">на аппаратно-программном комплексе «А</w:t>
      </w:r>
      <w:r>
        <w:rPr>
          <w:bCs/>
          <w:sz w:val="28"/>
          <w:szCs w:val="28"/>
        </w:rPr>
        <w:t xml:space="preserve">РМИС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/>
    </w:p>
    <w:p>
      <w:pPr>
        <w:pStyle w:val="435"/>
        <w:spacing w:lineRule="auto" w:line="240"/>
        <w:tabs>
          <w:tab w:val="left" w:pos="97" w:leader="none"/>
        </w:tabs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 сентября 2012 года</w:t>
      </w:r>
      <w:r>
        <w:rPr>
          <w:sz w:val="28"/>
          <w:szCs w:val="28"/>
        </w:rPr>
        <w:t xml:space="preserve"> в рамках реализации пилотного проекта по здоровьесбережению </w:t>
      </w:r>
      <w:r>
        <w:rPr>
          <w:sz w:val="28"/>
          <w:szCs w:val="28"/>
        </w:rPr>
        <w:t xml:space="preserve">602</w:t>
      </w:r>
      <w:r>
        <w:rPr>
          <w:sz w:val="28"/>
          <w:szCs w:val="28"/>
        </w:rPr>
        <w:t xml:space="preserve"> общеобразовательных школ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Ростовской области были оснащены аппаратно-программными комплексами диагностического назначения «АРМИС» </w:t>
      </w:r>
      <w:r>
        <w:rPr>
          <w:i/>
          <w:sz w:val="28"/>
          <w:szCs w:val="28"/>
        </w:rPr>
        <w:t xml:space="preserve">(разработка ООО «Корвита»). </w:t>
      </w:r>
      <w:r>
        <w:rPr>
          <w:sz w:val="28"/>
          <w:szCs w:val="28"/>
        </w:rPr>
        <w:t xml:space="preserve">Данные комплексы позволяют </w:t>
      </w:r>
      <w:r>
        <w:rPr>
          <w:sz w:val="28"/>
          <w:szCs w:val="28"/>
        </w:rPr>
        <w:t xml:space="preserve">качественно, быстро и без вреда для здоровья осуществить комплексную диагностику состояния здоровья ребенка, а также выявлять возможные нарушения в </w:t>
      </w:r>
      <w:r>
        <w:rPr>
          <w:sz w:val="28"/>
          <w:szCs w:val="28"/>
        </w:rPr>
        <w:t xml:space="preserve">различных </w:t>
      </w:r>
      <w:r>
        <w:rPr>
          <w:sz w:val="28"/>
          <w:szCs w:val="28"/>
        </w:rPr>
        <w:t xml:space="preserve">системах</w:t>
      </w:r>
      <w:r>
        <w:rPr>
          <w:sz w:val="28"/>
          <w:szCs w:val="28"/>
        </w:rPr>
        <w:t xml:space="preserve"> организма</w:t>
      </w:r>
      <w:r>
        <w:rPr>
          <w:sz w:val="28"/>
          <w:szCs w:val="28"/>
        </w:rPr>
        <w:t xml:space="preserve">. </w:t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состояния здоровья учащихся с использованием диагностического комплекса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АРМИС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осуществляется в автоматическом режиме экспертной </w:t>
      </w:r>
      <w:r>
        <w:rPr>
          <w:sz w:val="28"/>
          <w:szCs w:val="28"/>
        </w:rPr>
        <w:t xml:space="preserve">информационной системой</w:t>
      </w:r>
      <w:r>
        <w:rPr>
          <w:sz w:val="28"/>
          <w:szCs w:val="28"/>
        </w:rPr>
        <w:t xml:space="preserve"> «Наша здоровая школа».</w:t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Исследуются параметры следующих систем организма: </w:t>
      </w:r>
      <w:r>
        <w:rPr>
          <w:sz w:val="28"/>
          <w:szCs w:val="28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сердечно-сосудистой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дыхательной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центральной нервной</w:t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слуховой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зрительной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тдельно анализируется набор параметров адаптационных резервов и параметры физического развития. </w:t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Специальная статистическая процедура позволяет подойти к комплексной оценке как системы в целом, так и к каждому из исследуемых параметров: состояние системы или параметра в норме или имеются признаки отклонения от нормы – «не норма». </w:t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175895</wp:posOffset>
                </wp:positionV>
                <wp:extent cx="297180" cy="26670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180" cy="266700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9.0pt;mso-wrap-distance-top:0.0pt;mso-wrap-distance-right:9.0pt;mso-wrap-distance-bottom:0.0pt;z-index:251658241;o:allowoverlap:true;o:allowincell:true;mso-position-horizontal-relative:text;margin-left:6.3pt;mso-position-horizontal:absolute;mso-position-vertical-relative:text;margin-top:13.8pt;mso-position-vertical:absolute;width:23.4pt;height:21.0pt;" coordsize="100000,100000" path="m75000,0l75000,24999l0,24999l0,74998l75000,74998l75000,99999l100000,49998xee" fillcolor="#FFFFFF" strokecolor="#000000">
                <v:path textboxrect="0,24999,87500,74997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b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Важно помнить</w:t>
      </w:r>
      <w:r>
        <w:rPr>
          <w:sz w:val="28"/>
          <w:szCs w:val="28"/>
        </w:rPr>
        <w:t xml:space="preserve">: аппаратно-программный комплекс «АРМИС» выполняет функцию диагностической, доврачебной помощи. </w:t>
      </w:r>
      <w:r>
        <w:rPr>
          <w:b/>
          <w:sz w:val="28"/>
          <w:szCs w:val="28"/>
        </w:rPr>
        <w:t xml:space="preserve">Полученная в отношении любого из исследуемы</w:t>
      </w:r>
      <w:r>
        <w:rPr>
          <w:b/>
          <w:sz w:val="28"/>
          <w:szCs w:val="28"/>
        </w:rPr>
        <w:t xml:space="preserve">х параметров оценки «не норма» еще не</w:t>
      </w:r>
      <w:r>
        <w:rPr>
          <w:b/>
          <w:sz w:val="28"/>
          <w:szCs w:val="28"/>
        </w:rPr>
        <w:t xml:space="preserve"> означает, что </w:t>
      </w:r>
      <w:r>
        <w:rPr>
          <w:b/>
          <w:sz w:val="28"/>
          <w:szCs w:val="28"/>
        </w:rPr>
        <w:t xml:space="preserve">ребенок нездоров. Это говорит о том, что </w:t>
      </w:r>
      <w:r>
        <w:rPr>
          <w:b/>
          <w:sz w:val="28"/>
          <w:szCs w:val="28"/>
        </w:rPr>
        <w:t xml:space="preserve">на анализируемую систему организма</w:t>
      </w:r>
      <w:r>
        <w:rPr>
          <w:b/>
          <w:sz w:val="28"/>
          <w:szCs w:val="28"/>
        </w:rPr>
        <w:t xml:space="preserve"> (в которой обнаружено то или иное отклонение от нормы)</w:t>
      </w:r>
      <w:r>
        <w:rPr>
          <w:b/>
          <w:sz w:val="28"/>
          <w:szCs w:val="28"/>
        </w:rPr>
        <w:t xml:space="preserve"> следует обратить внимание</w:t>
      </w:r>
      <w:r>
        <w:rPr>
          <w:b/>
          <w:sz w:val="28"/>
          <w:szCs w:val="28"/>
        </w:rPr>
        <w:t xml:space="preserve">, проконсультироваться с врачом, напр</w:t>
      </w:r>
      <w:r>
        <w:rPr>
          <w:b/>
          <w:sz w:val="28"/>
          <w:szCs w:val="28"/>
        </w:rPr>
        <w:t xml:space="preserve">авить усилия на повышение качест</w:t>
      </w:r>
      <w:r>
        <w:rPr>
          <w:b/>
          <w:sz w:val="28"/>
          <w:szCs w:val="28"/>
        </w:rPr>
        <w:t xml:space="preserve">ва здоровья с использованием технологий физкультуры и спорта, рациональной организации образа жиз</w:t>
      </w:r>
      <w:r>
        <w:rPr>
          <w:b/>
          <w:sz w:val="28"/>
          <w:szCs w:val="28"/>
        </w:rPr>
        <w:t xml:space="preserve">ни, исключения вредных привычек и т.п.</w:t>
      </w:r>
      <w:r>
        <w:rPr>
          <w:b/>
          <w:sz w:val="28"/>
          <w:szCs w:val="28"/>
        </w:rPr>
      </w:r>
      <w:r/>
    </w:p>
    <w:p>
      <w:pPr>
        <w:pStyle w:val="424"/>
        <w:spacing w:lineRule="auto" w:line="276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/>
    </w:p>
    <w:p>
      <w:pPr>
        <w:pStyle w:val="424"/>
        <w:jc w:val="both"/>
        <w:spacing w:lineRule="auto" w:line="276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Наиболее важными в отношении здоровья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ребенка являются следующие ситуации.</w:t>
      </w:r>
      <w:r/>
    </w:p>
    <w:p>
      <w:pPr>
        <w:pStyle w:val="424"/>
        <w:ind w:firstLine="708"/>
        <w:jc w:val="both"/>
        <w:spacing w:lineRule="auto" w:line="276"/>
        <w:tabs>
          <w:tab w:val="left" w:pos="84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Тревожными признаками, которые являются важными в отношении возможных нарушений в сердечно-сосудистой и дыхательной (респираторная) системах, </w:t>
      </w:r>
      <w:r>
        <w:rPr>
          <w:b/>
          <w:sz w:val="28"/>
          <w:szCs w:val="28"/>
        </w:rPr>
        <w:t xml:space="preserve">требующими обязательного обращения к врачу</w:t>
      </w:r>
      <w:r>
        <w:rPr>
          <w:sz w:val="28"/>
          <w:szCs w:val="28"/>
        </w:rPr>
        <w:t xml:space="preserve">, являются следующие параметры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46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46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сердечно-сосудистой си</w:t>
      </w:r>
      <w:r>
        <w:rPr>
          <w:rFonts w:ascii="Times New Roman" w:hAnsi="Times New Roman"/>
          <w:sz w:val="28"/>
          <w:szCs w:val="28"/>
          <w:u w:val="single"/>
        </w:rPr>
        <w:t xml:space="preserve">с</w:t>
      </w:r>
      <w:r>
        <w:rPr>
          <w:rFonts w:ascii="Times New Roman" w:hAnsi="Times New Roman"/>
          <w:sz w:val="28"/>
          <w:szCs w:val="28"/>
          <w:u w:val="single"/>
        </w:rPr>
        <w:t xml:space="preserve">теме: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4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смещение ST-сегмента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4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желудочковых экстрасист</w:t>
      </w:r>
      <w:r>
        <w:rPr>
          <w:rFonts w:ascii="Times New Roman" w:hAnsi="Times New Roman"/>
          <w:sz w:val="28"/>
          <w:szCs w:val="28"/>
        </w:rPr>
        <w:t xml:space="preserve">ол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435"/>
        <w:numPr>
          <w:ilvl w:val="0"/>
          <w:numId w:val="4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</w:t>
      </w:r>
      <w:r>
        <w:rPr>
          <w:rFonts w:ascii="Times New Roman" w:hAnsi="Times New Roman"/>
          <w:sz w:val="28"/>
          <w:szCs w:val="28"/>
        </w:rPr>
        <w:t xml:space="preserve">во наджелудочковых экстрасистол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435"/>
        <w:numPr>
          <w:ilvl w:val="0"/>
          <w:numId w:val="4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АВ-блокад 2-го типа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4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</w:t>
      </w:r>
      <w:r>
        <w:rPr>
          <w:rFonts w:ascii="Times New Roman" w:hAnsi="Times New Roman"/>
          <w:sz w:val="28"/>
          <w:szCs w:val="28"/>
        </w:rPr>
        <w:t xml:space="preserve">личество синоатриальных блокад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0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0"/>
        <w:spacing w:lineRule="auto" w:line="276"/>
        <w:tabs>
          <w:tab w:val="left" w:pos="14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дыхательной системе: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форсиров</w:t>
      </w:r>
      <w:r>
        <w:rPr>
          <w:rFonts w:ascii="Times New Roman" w:hAnsi="Times New Roman"/>
          <w:sz w:val="28"/>
          <w:szCs w:val="28"/>
        </w:rPr>
        <w:t xml:space="preserve">анная жизненная ёмкость (ФЖЭЛ)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3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форси</w:t>
      </w:r>
      <w:r>
        <w:rPr>
          <w:rFonts w:ascii="Times New Roman" w:hAnsi="Times New Roman"/>
          <w:sz w:val="28"/>
          <w:szCs w:val="28"/>
        </w:rPr>
        <w:t xml:space="preserve">рованного выдоха за 1-ю секунду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435"/>
        <w:numPr>
          <w:ilvl w:val="0"/>
          <w:numId w:val="3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пиковая скорость выдоха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435"/>
        <w:numPr>
          <w:ilvl w:val="0"/>
          <w:numId w:val="3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объемная скорость на промежутке 25%-75%.</w:t>
      </w:r>
      <w:r/>
    </w:p>
    <w:p>
      <w:pPr>
        <w:pStyle w:val="435"/>
        <w:numPr>
          <w:ilvl w:val="0"/>
          <w:numId w:val="1"/>
        </w:numPr>
        <w:ind w:left="0" w:firstLine="720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600"/>
        <w:jc w:val="both"/>
        <w:spacing w:lineRule="auto" w:line="276"/>
        <w:tabs>
          <w:tab w:val="left" w:pos="0" w:leader="none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В</w:t>
      </w:r>
      <w:r>
        <w:rPr>
          <w:rFonts w:ascii="Times New Roman" w:hAnsi="Times New Roman"/>
          <w:sz w:val="28"/>
          <w:szCs w:val="28"/>
        </w:rPr>
        <w:t xml:space="preserve">ысока вероятность наличия устойчивого гиперактивного состояния, перевозбуждения, неустойчивость к стрессогенным факторам. С</w:t>
      </w:r>
      <w:r>
        <w:rPr>
          <w:rFonts w:ascii="Times New Roman" w:hAnsi="Times New Roman"/>
          <w:sz w:val="28"/>
          <w:szCs w:val="28"/>
        </w:rPr>
        <w:t xml:space="preserve">ледует </w:t>
      </w:r>
      <w:r>
        <w:rPr>
          <w:rFonts w:ascii="Times New Roman" w:hAnsi="Times New Roman"/>
          <w:bCs/>
          <w:sz w:val="28"/>
          <w:szCs w:val="28"/>
        </w:rPr>
        <w:t xml:space="preserve">проконсультироваться с врачом</w:t>
      </w:r>
      <w:r>
        <w:rPr>
          <w:rFonts w:ascii="Times New Roman" w:hAnsi="Times New Roman"/>
          <w:sz w:val="28"/>
          <w:szCs w:val="28"/>
        </w:rPr>
        <w:t xml:space="preserve"> при обнаружении следующих признаков:</w:t>
      </w:r>
      <w:r>
        <w:rPr>
          <w:rFonts w:ascii="Times New Roman" w:hAnsi="Times New Roman"/>
          <w:sz w:val="28"/>
          <w:szCs w:val="28"/>
          <w:u w:val="single"/>
        </w:rPr>
      </w:r>
      <w:r/>
    </w:p>
    <w:p>
      <w:pPr>
        <w:pStyle w:val="435"/>
        <w:numPr>
          <w:ilvl w:val="0"/>
          <w:numId w:val="1"/>
        </w:numPr>
        <w:ind w:left="0" w:firstLine="720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720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В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ысоки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е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значени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параметров: </w:t>
      </w: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ЧСС (частота сердечных сокращений),  </w:t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 Баевского </w:t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систолическое артериальное давление и </w:t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низких зн</w:t>
      </w:r>
      <w:r>
        <w:rPr>
          <w:rFonts w:ascii="Times New Roman" w:hAnsi="Times New Roman"/>
          <w:sz w:val="28"/>
          <w:szCs w:val="28"/>
        </w:rPr>
        <w:t xml:space="preserve">ачений</w:t>
      </w:r>
      <w:r>
        <w:rPr>
          <w:rFonts w:ascii="Times New Roman" w:hAnsi="Times New Roman"/>
          <w:sz w:val="28"/>
          <w:szCs w:val="28"/>
        </w:rPr>
        <w:t xml:space="preserve"> в разделе "Резервные возможности организма" 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435"/>
        <w:jc w:val="both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7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Выявляются призн</w:t>
      </w:r>
      <w:r>
        <w:rPr>
          <w:rFonts w:ascii="Times New Roman" w:hAnsi="Times New Roman"/>
          <w:bCs/>
          <w:sz w:val="28"/>
          <w:szCs w:val="28"/>
        </w:rPr>
        <w:t xml:space="preserve">аки низкой физической, аэробной</w:t>
      </w:r>
      <w:r>
        <w:rPr>
          <w:rFonts w:ascii="Times New Roman" w:hAnsi="Times New Roman"/>
          <w:bCs/>
          <w:sz w:val="28"/>
          <w:szCs w:val="28"/>
        </w:rPr>
        <w:t xml:space="preserve"> тренированности  ребенка: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720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435"/>
        <w:numPr>
          <w:ilvl w:val="0"/>
          <w:numId w:val="1"/>
        </w:numPr>
        <w:ind w:left="0" w:firstLine="720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Высокие значения параметров: </w:t>
      </w: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ЧСС (частота сердечных сокращений)    </w:t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 Баевского </w:t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систолическое артериальное давление и </w:t>
      </w:r>
      <w:r/>
    </w:p>
    <w:p>
      <w:pPr>
        <w:pStyle w:val="435"/>
        <w:numPr>
          <w:ilvl w:val="0"/>
          <w:numId w:val="1"/>
        </w:numPr>
        <w:ind w:left="0" w:firstLine="720"/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Н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изки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е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значения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параметров: </w:t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жизненная емкость легких</w:t>
      </w:r>
      <w:r>
        <w:rPr>
          <w:rFonts w:ascii="Times New Roman" w:hAnsi="Times New Roman"/>
          <w:sz w:val="28"/>
          <w:szCs w:val="28"/>
        </w:rPr>
        <w:t xml:space="preserve"> (Дыхательная система)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435"/>
        <w:numPr>
          <w:ilvl w:val="0"/>
          <w:numId w:val="5"/>
        </w:numPr>
        <w:jc w:val="both"/>
        <w:spacing w:lineRule="auto" w:line="276"/>
        <w:tabs>
          <w:tab w:val="left" w:pos="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 силы </w:t>
      </w:r>
      <w:r>
        <w:rPr>
          <w:rFonts w:ascii="Times New Roman" w:hAnsi="Times New Roman"/>
          <w:sz w:val="28"/>
          <w:szCs w:val="28"/>
        </w:rPr>
        <w:t xml:space="preserve">(Антропометрия)</w:t>
      </w:r>
      <w:r/>
    </w:p>
    <w:sectPr>
      <w:footnotePr/>
      <w:endnotePr/>
      <w:type w:val="nextPage"/>
      <w:pgSz w:w="11906" w:h="16838" w:orient="portrait"/>
      <w:pgMar w:top="426" w:right="850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506020203020204"/>
  </w:font>
  <w:font w:name="Tahoma">
    <w:panose1 w:val="020B0604030504040204"/>
  </w:font>
  <w:font w:name="wenquanyi micro hei">
    <w:panose1 w:val="02000603000000000000"/>
  </w:font>
  <w:font w:name="Liberation Sans">
    <w:panose1 w:val="020B0604020202020204"/>
  </w:font>
  <w:font w:name="OpenSymbol">
    <w:panose1 w:val="05010000000000000000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424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424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424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424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424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424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424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424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424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24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nothing"/>
      <w:lvlText w:val=""/>
      <w:lvlJc w:val="left"/>
      <w:pPr>
        <w:pStyle w:val="424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424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424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424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424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424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424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424"/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24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◦"/>
      <w:lvlJc w:val="left"/>
      <w:pPr>
        <w:pStyle w:val="424"/>
        <w:ind w:left="1080" w:hanging="360"/>
        <w:tabs>
          <w:tab w:val="num" w:pos="1080" w:leader="none"/>
        </w:tabs>
      </w:pPr>
      <w:rPr>
        <w:rFonts w:ascii="OpenSymbol" w:hAnsi="OpenSymbol"/>
      </w:rPr>
    </w:lvl>
    <w:lvl w:ilvl="2">
      <w:start w:val="1"/>
      <w:numFmt w:val="bullet"/>
      <w:isLgl w:val="false"/>
      <w:suff w:val="tab"/>
      <w:lvlText w:val="▪"/>
      <w:lvlJc w:val="left"/>
      <w:pPr>
        <w:pStyle w:val="424"/>
        <w:ind w:left="1440" w:hanging="360"/>
        <w:tabs>
          <w:tab w:val="num" w:pos="1440" w:leader="none"/>
        </w:tabs>
      </w:pPr>
      <w:rPr>
        <w:rFonts w:ascii="OpenSymbol" w:hAnsi="OpenSymbol"/>
      </w:rPr>
    </w:lvl>
    <w:lvl w:ilvl="3">
      <w:start w:val="1"/>
      <w:numFmt w:val="bullet"/>
      <w:isLgl w:val="false"/>
      <w:suff w:val="tab"/>
      <w:lvlText w:val=""/>
      <w:lvlJc w:val="left"/>
      <w:pPr>
        <w:pStyle w:val="424"/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◦"/>
      <w:lvlJc w:val="left"/>
      <w:pPr>
        <w:pStyle w:val="424"/>
        <w:ind w:left="2160" w:hanging="360"/>
        <w:tabs>
          <w:tab w:val="num" w:pos="2160" w:leader="none"/>
        </w:tabs>
      </w:pPr>
      <w:rPr>
        <w:rFonts w:ascii="OpenSymbol" w:hAnsi="OpenSymbol"/>
      </w:rPr>
    </w:lvl>
    <w:lvl w:ilvl="5">
      <w:start w:val="1"/>
      <w:numFmt w:val="bullet"/>
      <w:isLgl w:val="false"/>
      <w:suff w:val="tab"/>
      <w:lvlText w:val="▪"/>
      <w:lvlJc w:val="left"/>
      <w:pPr>
        <w:pStyle w:val="424"/>
        <w:ind w:left="2520" w:hanging="360"/>
        <w:tabs>
          <w:tab w:val="num" w:pos="2520" w:leader="none"/>
        </w:tabs>
      </w:pPr>
      <w:rPr>
        <w:rFonts w:ascii="OpenSymbol" w:hAnsi="OpenSymbol"/>
      </w:rPr>
    </w:lvl>
    <w:lvl w:ilvl="6">
      <w:start w:val="1"/>
      <w:numFmt w:val="bullet"/>
      <w:isLgl w:val="false"/>
      <w:suff w:val="tab"/>
      <w:lvlText w:val=""/>
      <w:lvlJc w:val="left"/>
      <w:pPr>
        <w:pStyle w:val="424"/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◦"/>
      <w:lvlJc w:val="left"/>
      <w:pPr>
        <w:pStyle w:val="424"/>
        <w:ind w:left="3240" w:hanging="360"/>
        <w:tabs>
          <w:tab w:val="num" w:pos="3240" w:leader="none"/>
        </w:tabs>
      </w:pPr>
      <w:rPr>
        <w:rFonts w:ascii="OpenSymbol" w:hAnsi="OpenSymbol"/>
      </w:rPr>
    </w:lvl>
    <w:lvl w:ilvl="8">
      <w:start w:val="1"/>
      <w:numFmt w:val="bullet"/>
      <w:isLgl w:val="false"/>
      <w:suff w:val="tab"/>
      <w:lvlText w:val="▪"/>
      <w:lvlJc w:val="left"/>
      <w:pPr>
        <w:pStyle w:val="424"/>
        <w:ind w:left="3600" w:hanging="360"/>
        <w:tabs>
          <w:tab w:val="num" w:pos="3600" w:leader="none"/>
        </w:tabs>
      </w:pPr>
      <w:rPr>
        <w:rFonts w:ascii="OpenSymbol" w:hAnsi="Open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24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◦"/>
      <w:lvlJc w:val="left"/>
      <w:pPr>
        <w:pStyle w:val="424"/>
        <w:ind w:left="1080" w:hanging="360"/>
        <w:tabs>
          <w:tab w:val="num" w:pos="1080" w:leader="none"/>
        </w:tabs>
      </w:pPr>
      <w:rPr>
        <w:rFonts w:ascii="OpenSymbol" w:hAnsi="OpenSymbol"/>
      </w:rPr>
    </w:lvl>
    <w:lvl w:ilvl="2">
      <w:start w:val="1"/>
      <w:numFmt w:val="bullet"/>
      <w:isLgl w:val="false"/>
      <w:suff w:val="tab"/>
      <w:lvlText w:val="▪"/>
      <w:lvlJc w:val="left"/>
      <w:pPr>
        <w:pStyle w:val="424"/>
        <w:ind w:left="1440" w:hanging="360"/>
        <w:tabs>
          <w:tab w:val="num" w:pos="1440" w:leader="none"/>
        </w:tabs>
      </w:pPr>
      <w:rPr>
        <w:rFonts w:ascii="OpenSymbol" w:hAnsi="OpenSymbol"/>
      </w:rPr>
    </w:lvl>
    <w:lvl w:ilvl="3">
      <w:start w:val="1"/>
      <w:numFmt w:val="bullet"/>
      <w:isLgl w:val="false"/>
      <w:suff w:val="tab"/>
      <w:lvlText w:val=""/>
      <w:lvlJc w:val="left"/>
      <w:pPr>
        <w:pStyle w:val="424"/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◦"/>
      <w:lvlJc w:val="left"/>
      <w:pPr>
        <w:pStyle w:val="424"/>
        <w:ind w:left="2160" w:hanging="360"/>
        <w:tabs>
          <w:tab w:val="num" w:pos="2160" w:leader="none"/>
        </w:tabs>
      </w:pPr>
      <w:rPr>
        <w:rFonts w:ascii="OpenSymbol" w:hAnsi="OpenSymbol"/>
      </w:rPr>
    </w:lvl>
    <w:lvl w:ilvl="5">
      <w:start w:val="1"/>
      <w:numFmt w:val="bullet"/>
      <w:isLgl w:val="false"/>
      <w:suff w:val="tab"/>
      <w:lvlText w:val="▪"/>
      <w:lvlJc w:val="left"/>
      <w:pPr>
        <w:pStyle w:val="424"/>
        <w:ind w:left="2520" w:hanging="360"/>
        <w:tabs>
          <w:tab w:val="num" w:pos="2520" w:leader="none"/>
        </w:tabs>
      </w:pPr>
      <w:rPr>
        <w:rFonts w:ascii="OpenSymbol" w:hAnsi="OpenSymbol"/>
      </w:rPr>
    </w:lvl>
    <w:lvl w:ilvl="6">
      <w:start w:val="1"/>
      <w:numFmt w:val="bullet"/>
      <w:isLgl w:val="false"/>
      <w:suff w:val="tab"/>
      <w:lvlText w:val=""/>
      <w:lvlJc w:val="left"/>
      <w:pPr>
        <w:pStyle w:val="424"/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◦"/>
      <w:lvlJc w:val="left"/>
      <w:pPr>
        <w:pStyle w:val="424"/>
        <w:ind w:left="3240" w:hanging="360"/>
        <w:tabs>
          <w:tab w:val="num" w:pos="3240" w:leader="none"/>
        </w:tabs>
      </w:pPr>
      <w:rPr>
        <w:rFonts w:ascii="OpenSymbol" w:hAnsi="OpenSymbol"/>
      </w:rPr>
    </w:lvl>
    <w:lvl w:ilvl="8">
      <w:start w:val="1"/>
      <w:numFmt w:val="bullet"/>
      <w:isLgl w:val="false"/>
      <w:suff w:val="tab"/>
      <w:lvlText w:val="▪"/>
      <w:lvlJc w:val="left"/>
      <w:pPr>
        <w:pStyle w:val="424"/>
        <w:ind w:left="3600" w:hanging="360"/>
        <w:tabs>
          <w:tab w:val="num" w:pos="3600" w:leader="none"/>
        </w:tabs>
      </w:pPr>
      <w:rPr>
        <w:rFonts w:ascii="OpenSymbol" w:hAnsi="Open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24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◦"/>
      <w:lvlJc w:val="left"/>
      <w:pPr>
        <w:pStyle w:val="424"/>
        <w:ind w:left="1080" w:hanging="360"/>
        <w:tabs>
          <w:tab w:val="num" w:pos="1080" w:leader="none"/>
        </w:tabs>
      </w:pPr>
      <w:rPr>
        <w:rFonts w:ascii="OpenSymbol" w:hAnsi="OpenSymbol"/>
      </w:rPr>
    </w:lvl>
    <w:lvl w:ilvl="2">
      <w:start w:val="1"/>
      <w:numFmt w:val="bullet"/>
      <w:isLgl w:val="false"/>
      <w:suff w:val="tab"/>
      <w:lvlText w:val="▪"/>
      <w:lvlJc w:val="left"/>
      <w:pPr>
        <w:pStyle w:val="424"/>
        <w:ind w:left="1440" w:hanging="360"/>
        <w:tabs>
          <w:tab w:val="num" w:pos="1440" w:leader="none"/>
        </w:tabs>
      </w:pPr>
      <w:rPr>
        <w:rFonts w:ascii="OpenSymbol" w:hAnsi="OpenSymbol"/>
      </w:rPr>
    </w:lvl>
    <w:lvl w:ilvl="3">
      <w:start w:val="1"/>
      <w:numFmt w:val="bullet"/>
      <w:isLgl w:val="false"/>
      <w:suff w:val="tab"/>
      <w:lvlText w:val=""/>
      <w:lvlJc w:val="left"/>
      <w:pPr>
        <w:pStyle w:val="424"/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◦"/>
      <w:lvlJc w:val="left"/>
      <w:pPr>
        <w:pStyle w:val="424"/>
        <w:ind w:left="2160" w:hanging="360"/>
        <w:tabs>
          <w:tab w:val="num" w:pos="2160" w:leader="none"/>
        </w:tabs>
      </w:pPr>
      <w:rPr>
        <w:rFonts w:ascii="OpenSymbol" w:hAnsi="OpenSymbol"/>
      </w:rPr>
    </w:lvl>
    <w:lvl w:ilvl="5">
      <w:start w:val="1"/>
      <w:numFmt w:val="bullet"/>
      <w:isLgl w:val="false"/>
      <w:suff w:val="tab"/>
      <w:lvlText w:val="▪"/>
      <w:lvlJc w:val="left"/>
      <w:pPr>
        <w:pStyle w:val="424"/>
        <w:ind w:left="2520" w:hanging="360"/>
        <w:tabs>
          <w:tab w:val="num" w:pos="2520" w:leader="none"/>
        </w:tabs>
      </w:pPr>
      <w:rPr>
        <w:rFonts w:ascii="OpenSymbol" w:hAnsi="OpenSymbol"/>
      </w:rPr>
    </w:lvl>
    <w:lvl w:ilvl="6">
      <w:start w:val="1"/>
      <w:numFmt w:val="bullet"/>
      <w:isLgl w:val="false"/>
      <w:suff w:val="tab"/>
      <w:lvlText w:val=""/>
      <w:lvlJc w:val="left"/>
      <w:pPr>
        <w:pStyle w:val="424"/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◦"/>
      <w:lvlJc w:val="left"/>
      <w:pPr>
        <w:pStyle w:val="424"/>
        <w:ind w:left="3240" w:hanging="360"/>
        <w:tabs>
          <w:tab w:val="num" w:pos="3240" w:leader="none"/>
        </w:tabs>
      </w:pPr>
      <w:rPr>
        <w:rFonts w:ascii="OpenSymbol" w:hAnsi="OpenSymbol"/>
      </w:rPr>
    </w:lvl>
    <w:lvl w:ilvl="8">
      <w:start w:val="1"/>
      <w:numFmt w:val="bullet"/>
      <w:isLgl w:val="false"/>
      <w:suff w:val="tab"/>
      <w:lvlText w:val="▪"/>
      <w:lvlJc w:val="left"/>
      <w:pPr>
        <w:pStyle w:val="424"/>
        <w:ind w:left="3600" w:hanging="360"/>
        <w:tabs>
          <w:tab w:val="num" w:pos="3600" w:leader="none"/>
        </w:tabs>
      </w:pPr>
      <w:rPr>
        <w:rFonts w:ascii="OpenSymbol" w:hAnsi="Open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424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424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424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424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424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424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424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424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424"/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424"/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42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2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2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2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2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2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2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24"/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24">
    <w:name w:val="Обычный"/>
    <w:next w:val="424"/>
    <w:link w:val="424"/>
    <w:rPr>
      <w:sz w:val="24"/>
      <w:szCs w:val="24"/>
      <w:lang w:val="ru-RU" w:bidi="ar-SA" w:eastAsia="zh-CN"/>
    </w:rPr>
  </w:style>
  <w:style w:type="character" w:styleId="425">
    <w:name w:val="Основной шрифт абзаца"/>
    <w:next w:val="425"/>
    <w:link w:val="424"/>
  </w:style>
  <w:style w:type="table" w:styleId="426">
    <w:name w:val="Обычная таблица"/>
    <w:next w:val="426"/>
    <w:link w:val="424"/>
    <w:semiHidden/>
    <w:tblPr/>
  </w:style>
  <w:style w:type="numbering" w:styleId="427">
    <w:name w:val="Нет списка"/>
    <w:next w:val="427"/>
    <w:link w:val="424"/>
    <w:semiHidden/>
  </w:style>
  <w:style w:type="character" w:styleId="428">
    <w:name w:val="WW8Num2z0"/>
    <w:next w:val="428"/>
    <w:link w:val="424"/>
    <w:rPr>
      <w:rFonts w:ascii="Symbol" w:hAnsi="Symbol"/>
    </w:rPr>
  </w:style>
  <w:style w:type="character" w:styleId="429">
    <w:name w:val="WW8Num3z0"/>
    <w:next w:val="429"/>
    <w:link w:val="424"/>
    <w:rPr>
      <w:rFonts w:ascii="Symbol" w:hAnsi="Symbol"/>
    </w:rPr>
  </w:style>
  <w:style w:type="character" w:styleId="430">
    <w:name w:val="WW8Num3z1"/>
    <w:next w:val="430"/>
    <w:link w:val="424"/>
    <w:rPr>
      <w:rFonts w:ascii="OpenSymbol" w:hAnsi="OpenSymbol"/>
    </w:rPr>
  </w:style>
  <w:style w:type="character" w:styleId="431">
    <w:name w:val="Absatz-Standardschriftart"/>
    <w:next w:val="431"/>
    <w:link w:val="424"/>
  </w:style>
  <w:style w:type="character" w:styleId="432">
    <w:name w:val="Основной шрифт абзаца1"/>
    <w:next w:val="432"/>
    <w:link w:val="424"/>
  </w:style>
  <w:style w:type="character" w:styleId="433">
    <w:name w:val="Маркеры списка"/>
    <w:next w:val="433"/>
    <w:link w:val="424"/>
    <w:rPr>
      <w:rFonts w:ascii="OpenSymbol" w:hAnsi="OpenSymbol" w:eastAsia="OpenSymbol"/>
    </w:rPr>
  </w:style>
  <w:style w:type="paragraph" w:styleId="434">
    <w:name w:val="Заголовок"/>
    <w:basedOn w:val="424"/>
    <w:next w:val="435"/>
    <w:link w:val="424"/>
    <w:rPr>
      <w:rFonts w:ascii="Liberation Sans" w:hAnsi="Liberation Sans" w:eastAsia="WenQuanYi Micro Hei"/>
      <w:sz w:val="28"/>
      <w:szCs w:val="28"/>
    </w:rPr>
    <w:pPr>
      <w:keepNext/>
      <w:spacing w:after="120" w:before="240"/>
    </w:pPr>
  </w:style>
  <w:style w:type="paragraph" w:styleId="435">
    <w:name w:val="Основной текст"/>
    <w:basedOn w:val="424"/>
    <w:next w:val="435"/>
    <w:link w:val="424"/>
    <w:rPr>
      <w:rFonts w:ascii="Tahoma" w:hAnsi="Tahoma" w:eastAsia="Microsoft Sans Serif"/>
      <w:sz w:val="8"/>
      <w:szCs w:val="8"/>
      <w:lang w:eastAsia="zh-CN"/>
    </w:rPr>
    <w:pPr>
      <w:spacing w:lineRule="atLeast" w:line="240"/>
      <w:shd w:val="clear" w:fill="FFFFFF" w:color="FFFFFF"/>
    </w:pPr>
  </w:style>
  <w:style w:type="paragraph" w:styleId="436">
    <w:name w:val="Список"/>
    <w:basedOn w:val="435"/>
    <w:next w:val="436"/>
    <w:link w:val="424"/>
  </w:style>
  <w:style w:type="paragraph" w:styleId="437">
    <w:name w:val="Название объекта"/>
    <w:basedOn w:val="424"/>
    <w:next w:val="437"/>
    <w:link w:val="424"/>
    <w:rPr>
      <w:i/>
      <w:iCs/>
      <w:sz w:val="24"/>
      <w:szCs w:val="24"/>
    </w:rPr>
    <w:pPr>
      <w:spacing w:after="120" w:before="120"/>
      <w:suppressLineNumbers/>
    </w:pPr>
  </w:style>
  <w:style w:type="paragraph" w:styleId="438">
    <w:name w:val="Указатель1"/>
    <w:basedOn w:val="424"/>
    <w:next w:val="438"/>
    <w:link w:val="424"/>
    <w:pPr>
      <w:suppressLineNumbers/>
    </w:pPr>
  </w:style>
  <w:style w:type="character" w:styleId="768" w:default="1">
    <w:name w:val="Default Paragraph Font"/>
    <w:uiPriority w:val="1"/>
    <w:semiHidden/>
    <w:unhideWhenUsed/>
  </w:style>
  <w:style w:type="numbering" w:styleId="769" w:default="1">
    <w:name w:val="No List"/>
    <w:uiPriority w:val="99"/>
    <w:semiHidden/>
    <w:unhideWhenUsed/>
  </w:style>
  <w:style w:type="paragraph" w:styleId="770" w:default="1">
    <w:name w:val="Normal"/>
    <w:qFormat/>
  </w:style>
  <w:style w:type="table" w:styleId="7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2021-01-22T12:28:37Z</dcterms:modified>
</cp:coreProperties>
</file>